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88B91" w14:textId="163499EE" w:rsidR="00D75E1F" w:rsidRPr="005D42BB" w:rsidRDefault="00081F4C" w:rsidP="246CE64A">
      <w:pPr>
        <w:rPr>
          <w:b/>
          <w:bCs/>
          <w:color w:val="002060"/>
          <w:sz w:val="28"/>
          <w:szCs w:val="28"/>
        </w:rPr>
      </w:pPr>
      <w:r>
        <w:rPr>
          <w:noProof/>
        </w:rPr>
        <w:drawing>
          <wp:anchor distT="0" distB="0" distL="114300" distR="114300" simplePos="0" relativeHeight="251658240" behindDoc="0" locked="0" layoutInCell="1" allowOverlap="1" wp14:anchorId="334C8976" wp14:editId="028EC687">
            <wp:simplePos x="0" y="0"/>
            <wp:positionH relativeFrom="column">
              <wp:posOffset>4343400</wp:posOffset>
            </wp:positionH>
            <wp:positionV relativeFrom="paragraph">
              <wp:posOffset>0</wp:posOffset>
            </wp:positionV>
            <wp:extent cx="1962150" cy="533400"/>
            <wp:effectExtent l="0" t="0" r="0" b="0"/>
            <wp:wrapThrough wrapText="bothSides">
              <wp:wrapPolygon edited="0">
                <wp:start x="0" y="0"/>
                <wp:lineTo x="0" y="20829"/>
                <wp:lineTo x="21390" y="20829"/>
                <wp:lineTo x="21390" y="0"/>
                <wp:lineTo x="0" y="0"/>
              </wp:wrapPolygon>
            </wp:wrapThrough>
            <wp:docPr id="809952584" name="Picture 2">
              <a:extLst xmlns:a="http://schemas.openxmlformats.org/drawingml/2006/main">
                <a:ext uri="{FF2B5EF4-FFF2-40B4-BE49-F238E27FC236}">
                  <a16:creationId xmlns:a16="http://schemas.microsoft.com/office/drawing/2014/main" id="{A910B9DD-7CBA-4706-90F3-6FDBEF35F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E1F" w:rsidRPr="00D75E1F">
        <w:t> </w:t>
      </w:r>
      <w:r w:rsidR="00D75E1F" w:rsidRPr="00D75E1F">
        <w:br/>
      </w:r>
      <w:r w:rsidR="00D75E1F" w:rsidRPr="005D42BB">
        <w:rPr>
          <w:b/>
          <w:bCs/>
          <w:color w:val="002060"/>
          <w:sz w:val="28"/>
          <w:szCs w:val="28"/>
        </w:rPr>
        <w:t>Job Title:  </w:t>
      </w:r>
      <w:r w:rsidR="005D42BB" w:rsidRPr="005D42BB">
        <w:rPr>
          <w:b/>
          <w:bCs/>
          <w:color w:val="002060"/>
          <w:sz w:val="28"/>
          <w:szCs w:val="28"/>
        </w:rPr>
        <w:t xml:space="preserve">Associate Director of Clinical &amp; </w:t>
      </w:r>
      <w:r>
        <w:rPr>
          <w:b/>
          <w:bCs/>
          <w:color w:val="002060"/>
          <w:sz w:val="28"/>
          <w:szCs w:val="28"/>
        </w:rPr>
        <w:br/>
      </w:r>
      <w:r w:rsidR="005D42BB" w:rsidRPr="005D42BB">
        <w:rPr>
          <w:b/>
          <w:bCs/>
          <w:color w:val="002060"/>
          <w:sz w:val="28"/>
          <w:szCs w:val="28"/>
        </w:rPr>
        <w:t>Medical Affairs</w:t>
      </w:r>
    </w:p>
    <w:p w14:paraId="092F1C36" w14:textId="0206E4D0" w:rsidR="00D75E1F" w:rsidRPr="005D42BB" w:rsidRDefault="00D75E1F" w:rsidP="00D75E1F">
      <w:pPr>
        <w:rPr>
          <w:b/>
          <w:bCs/>
          <w:color w:val="002060"/>
          <w:sz w:val="28"/>
          <w:szCs w:val="28"/>
        </w:rPr>
      </w:pPr>
      <w:r w:rsidRPr="005D42BB">
        <w:rPr>
          <w:b/>
          <w:bCs/>
          <w:color w:val="002060"/>
          <w:sz w:val="28"/>
          <w:szCs w:val="28"/>
        </w:rPr>
        <w:t>Department:  </w:t>
      </w:r>
      <w:r w:rsidR="004E6D61" w:rsidRPr="005D42BB">
        <w:rPr>
          <w:b/>
          <w:bCs/>
          <w:color w:val="002060"/>
          <w:sz w:val="28"/>
          <w:szCs w:val="28"/>
        </w:rPr>
        <w:t>Research and Development</w:t>
      </w:r>
    </w:p>
    <w:p w14:paraId="6F59F19F" w14:textId="1DF1BF02" w:rsidR="00D75E1F" w:rsidRPr="005D42BB" w:rsidRDefault="00D75E1F" w:rsidP="00D75E1F">
      <w:pPr>
        <w:rPr>
          <w:b/>
          <w:bCs/>
          <w:color w:val="002060"/>
          <w:sz w:val="28"/>
          <w:szCs w:val="28"/>
        </w:rPr>
      </w:pPr>
      <w:r w:rsidRPr="005D42BB">
        <w:rPr>
          <w:b/>
          <w:bCs/>
          <w:color w:val="002060"/>
          <w:sz w:val="28"/>
          <w:szCs w:val="28"/>
        </w:rPr>
        <w:t>Reports to:  </w:t>
      </w:r>
      <w:r w:rsidR="005D42BB" w:rsidRPr="005D42BB">
        <w:rPr>
          <w:b/>
          <w:bCs/>
          <w:color w:val="002060"/>
          <w:sz w:val="28"/>
          <w:szCs w:val="28"/>
        </w:rPr>
        <w:t>President, NeuWave</w:t>
      </w:r>
    </w:p>
    <w:p w14:paraId="68974ED4" w14:textId="01F4AF18" w:rsidR="00D75E1F" w:rsidRPr="00D75E1F" w:rsidRDefault="00D75E1F" w:rsidP="00D75E1F">
      <w:r w:rsidRPr="005D42BB">
        <w:rPr>
          <w:b/>
          <w:bCs/>
          <w:color w:val="002060"/>
          <w:sz w:val="28"/>
          <w:szCs w:val="28"/>
        </w:rPr>
        <w:t>Employment Type:   </w:t>
      </w:r>
      <w:r w:rsidR="0018694A" w:rsidRPr="005D42BB">
        <w:rPr>
          <w:b/>
          <w:bCs/>
          <w:color w:val="002060"/>
          <w:sz w:val="28"/>
          <w:szCs w:val="28"/>
        </w:rPr>
        <w:t>Full-time</w:t>
      </w:r>
      <w:r w:rsidRPr="002321D5">
        <w:rPr>
          <w:color w:val="002060"/>
          <w:sz w:val="28"/>
          <w:szCs w:val="28"/>
        </w:rPr>
        <w:br/>
      </w:r>
      <w:r w:rsidRPr="00D75E1F">
        <w:t> </w:t>
      </w:r>
      <w:r w:rsidRPr="00D75E1F">
        <w:br/>
      </w:r>
    </w:p>
    <w:p w14:paraId="0FB814C7" w14:textId="77777777" w:rsidR="00D75E1F" w:rsidRPr="00D75E1F" w:rsidRDefault="00D75E1F" w:rsidP="00D75E1F">
      <w:pPr>
        <w:rPr>
          <w:color w:val="002060"/>
        </w:rPr>
      </w:pPr>
      <w:r w:rsidRPr="00D75E1F">
        <w:rPr>
          <w:b/>
          <w:bCs/>
          <w:color w:val="002060"/>
        </w:rPr>
        <w:t>About NeuWave </w:t>
      </w:r>
      <w:r w:rsidRPr="00D75E1F">
        <w:rPr>
          <w:color w:val="002060"/>
        </w:rPr>
        <w:t>  </w:t>
      </w:r>
    </w:p>
    <w:p w14:paraId="2CC3D526" w14:textId="77777777" w:rsidR="005D42BB" w:rsidRPr="00F103ED" w:rsidRDefault="005D42BB" w:rsidP="005D42BB">
      <w:r w:rsidRPr="00F103ED">
        <w:t>NeuWave Medical pioneers microwave ablation technologies that help physicians treat soft</w:t>
      </w:r>
      <w:r w:rsidRPr="00F103ED">
        <w:noBreakHyphen/>
        <w:t>tissue lesions with precision. Our work spans product development, clinical evidence and field support for the NEUWAVE™ Microwave Ablation platform and ABLATE</w:t>
      </w:r>
      <w:r w:rsidRPr="00F103ED">
        <w:noBreakHyphen/>
        <w:t>IQ™ procedural planning &amp; visualization software. We’re a collaborative, hands</w:t>
      </w:r>
      <w:r w:rsidRPr="00F103ED">
        <w:noBreakHyphen/>
        <w:t>on team that moves quickly, prizes ownership and celebrates outcomes that improve patient care. We pair the agility of a focused business with the scale, learning opportunities and competitive benefits. We contribute to studies and registries that build clinical evidence and advance minimally invasive care.</w:t>
      </w:r>
    </w:p>
    <w:p w14:paraId="6FD4CCED" w14:textId="77777777" w:rsidR="005D42BB" w:rsidRPr="00F103ED" w:rsidRDefault="005D42BB" w:rsidP="005D42BB">
      <w:r w:rsidRPr="00F103ED">
        <w:t>As part of NeuWave, you’ll have access to a comprehensive offering of competitive benefits. If you’re highly motivated and inspired to help an organization advance human health, NeuWave offers the chance to perform career</w:t>
      </w:r>
      <w:r w:rsidRPr="00F103ED">
        <w:noBreakHyphen/>
        <w:t>defining work--with freedom to develop yourself within a progressive and growing healthcare company.</w:t>
      </w:r>
    </w:p>
    <w:p w14:paraId="118DB5D6" w14:textId="77777777" w:rsidR="00D75E1F" w:rsidRPr="00D75E1F" w:rsidRDefault="00D75E1F" w:rsidP="00D75E1F">
      <w:pPr>
        <w:rPr>
          <w:color w:val="002060"/>
        </w:rPr>
      </w:pPr>
      <w:r w:rsidRPr="00D75E1F">
        <w:rPr>
          <w:color w:val="002060"/>
        </w:rPr>
        <w:t> </w:t>
      </w:r>
      <w:r w:rsidRPr="00D75E1F">
        <w:rPr>
          <w:color w:val="002060"/>
        </w:rPr>
        <w:br/>
      </w:r>
      <w:r w:rsidRPr="00D75E1F">
        <w:rPr>
          <w:b/>
          <w:bCs/>
          <w:color w:val="002060"/>
        </w:rPr>
        <w:t>Position Summary</w:t>
      </w:r>
      <w:r w:rsidRPr="00D75E1F">
        <w:rPr>
          <w:color w:val="002060"/>
        </w:rPr>
        <w:t> </w:t>
      </w:r>
    </w:p>
    <w:p w14:paraId="59A813B6" w14:textId="77777777" w:rsidR="005D42BB" w:rsidRPr="00F103ED" w:rsidRDefault="005D42BB" w:rsidP="005D42BB">
      <w:r w:rsidRPr="00F103ED">
        <w:t>NeuWave is seeking a versatile Associate Director of Clinical &amp; Medical Affairs. This is a critical leadership role responsible for establishing a clear, accountable clinical Evidence Generation Strategy (EGS). You will bridge the gap between clinical evidence strategy and operational execution, "wearing more than one hat" to drive company growth through strengthened evidence, enabled product claims, and expanded indications. The ideal candidate is a cross-functional leader who can lead medical affairs relationships while hands-on managing vendors, clinical trials, and safety governance to ensure our innovations are safe, effective, and aligned with physician needs.  </w:t>
      </w:r>
    </w:p>
    <w:p w14:paraId="129A5716" w14:textId="77777777" w:rsidR="00D75E1F" w:rsidRPr="00D75E1F" w:rsidRDefault="00D75E1F" w:rsidP="00D75E1F">
      <w:r w:rsidRPr="00D75E1F">
        <w:t> </w:t>
      </w:r>
    </w:p>
    <w:p w14:paraId="4C95AA08" w14:textId="623C4BCA" w:rsidR="005D42BB" w:rsidRPr="00F103ED" w:rsidRDefault="00D75E1F" w:rsidP="005D42BB">
      <w:r w:rsidRPr="00081F4C">
        <w:rPr>
          <w:b/>
          <w:bCs/>
          <w:color w:val="002060"/>
          <w:sz w:val="28"/>
          <w:szCs w:val="28"/>
        </w:rPr>
        <w:lastRenderedPageBreak/>
        <w:t>Key Accountabilities</w:t>
      </w:r>
      <w:r w:rsidRPr="00D75E1F">
        <w:rPr>
          <w:color w:val="002060"/>
        </w:rPr>
        <w:t> </w:t>
      </w:r>
      <w:r w:rsidRPr="00D75E1F">
        <w:rPr>
          <w:color w:val="002060"/>
        </w:rPr>
        <w:br/>
      </w:r>
      <w:r w:rsidR="00081F4C">
        <w:rPr>
          <w:color w:val="002060"/>
        </w:rPr>
        <w:br/>
      </w:r>
      <w:r w:rsidR="005D42BB" w:rsidRPr="00F103ED">
        <w:rPr>
          <w:b/>
          <w:bCs/>
        </w:rPr>
        <w:t>Clinical Evidence &amp; Strategy</w:t>
      </w:r>
    </w:p>
    <w:p w14:paraId="24A8E24E" w14:textId="77777777" w:rsidR="005D42BB" w:rsidRPr="00F103ED" w:rsidRDefault="005D42BB" w:rsidP="005D42BB">
      <w:r w:rsidRPr="00F103ED">
        <w:rPr>
          <w:b/>
          <w:bCs/>
        </w:rPr>
        <w:t>• Strategy Development: </w:t>
      </w:r>
      <w:r w:rsidRPr="00F103ED">
        <w:t>Drive the clinical evidence generation strategy, including the development of protocols, investigator brochures, and coordinating scientific advisory boards.</w:t>
      </w:r>
      <w:r w:rsidRPr="00F103ED">
        <w:rPr>
          <w:b/>
          <w:bCs/>
        </w:rPr>
        <w:t>  </w:t>
      </w:r>
    </w:p>
    <w:p w14:paraId="7DFE854D" w14:textId="77777777" w:rsidR="005D42BB" w:rsidRPr="00F103ED" w:rsidRDefault="005D42BB" w:rsidP="005D42BB">
      <w:r w:rsidRPr="00F103ED">
        <w:rPr>
          <w:b/>
          <w:bCs/>
        </w:rPr>
        <w:t>• Roadmap Alignment: </w:t>
      </w:r>
      <w:r w:rsidRPr="00F103ED">
        <w:t xml:space="preserve">Align medical strategy with the product roadmap, influencing pipeline prioritization for future indications such as Lung, Bone, and Thyroid, including Robot Integration. </w:t>
      </w:r>
    </w:p>
    <w:p w14:paraId="284CD94E" w14:textId="77777777" w:rsidR="005D42BB" w:rsidRPr="00F103ED" w:rsidRDefault="005D42BB" w:rsidP="005D42BB">
      <w:r w:rsidRPr="00F103ED">
        <w:rPr>
          <w:b/>
          <w:bCs/>
        </w:rPr>
        <w:t>• Claims Support: </w:t>
      </w:r>
      <w:r w:rsidRPr="00F103ED">
        <w:t>Ensure all clinical evidence effectively supports labeling, promotional claims, and market access strategies.</w:t>
      </w:r>
      <w:r w:rsidRPr="00F103ED">
        <w:rPr>
          <w:b/>
          <w:bCs/>
        </w:rPr>
        <w:t>  </w:t>
      </w:r>
    </w:p>
    <w:p w14:paraId="27394268" w14:textId="77777777" w:rsidR="005D42BB" w:rsidRPr="00F103ED" w:rsidRDefault="005D42BB" w:rsidP="005D42BB">
      <w:r w:rsidRPr="00F103ED">
        <w:rPr>
          <w:b/>
          <w:bCs/>
        </w:rPr>
        <w:t>• External Influence: </w:t>
      </w:r>
      <w:r w:rsidRPr="00F103ED">
        <w:t xml:space="preserve">Develop and execute strategies to influence medical societies, clinical guidelines, and tumor boards to shape clinician mindset and market credibility. </w:t>
      </w:r>
    </w:p>
    <w:p w14:paraId="5AB544AE" w14:textId="7B020058" w:rsidR="005D42BB" w:rsidRPr="00F103ED" w:rsidRDefault="00081F4C" w:rsidP="005D42BB">
      <w:r>
        <w:rPr>
          <w:b/>
          <w:bCs/>
        </w:rPr>
        <w:br/>
      </w:r>
      <w:r w:rsidR="005D42BB" w:rsidRPr="00F103ED">
        <w:rPr>
          <w:b/>
          <w:bCs/>
        </w:rPr>
        <w:t>Clinical Operations &amp; External Relationship Management</w:t>
      </w:r>
    </w:p>
    <w:p w14:paraId="7718AA30" w14:textId="77777777" w:rsidR="005D42BB" w:rsidRPr="00F103ED" w:rsidRDefault="005D42BB" w:rsidP="005D42BB">
      <w:r w:rsidRPr="00F103ED">
        <w:rPr>
          <w:b/>
          <w:bCs/>
        </w:rPr>
        <w:t>• Operational Execution: </w:t>
      </w:r>
      <w:r w:rsidRPr="00F103ED">
        <w:t xml:space="preserve">Own the execution of clinical operations, including the creation of Informed Consent Forms (ICFs), source documents, and monitoring plans. </w:t>
      </w:r>
    </w:p>
    <w:p w14:paraId="0845F19F" w14:textId="77777777" w:rsidR="005D42BB" w:rsidRPr="00F103ED" w:rsidRDefault="005D42BB" w:rsidP="005D42BB">
      <w:r w:rsidRPr="00F103ED">
        <w:rPr>
          <w:b/>
          <w:bCs/>
        </w:rPr>
        <w:t>• Vendor Ownership: </w:t>
      </w:r>
      <w:r w:rsidRPr="00F103ED">
        <w:t xml:space="preserve">Own the overall clinical budget and manage specialized contract vendors such as Statistics, data modeling, monitoring and writing. </w:t>
      </w:r>
    </w:p>
    <w:p w14:paraId="7E530FBD" w14:textId="77777777" w:rsidR="005D42BB" w:rsidRPr="00F103ED" w:rsidRDefault="005D42BB" w:rsidP="005D42BB">
      <w:r w:rsidRPr="00F103ED">
        <w:rPr>
          <w:b/>
          <w:bCs/>
        </w:rPr>
        <w:t>• External PI &amp; Site Management: </w:t>
      </w:r>
      <w:r w:rsidRPr="00F103ED">
        <w:t>Conduct site and investigator qualification reports to ensure high-quality trial execution.</w:t>
      </w:r>
      <w:r w:rsidRPr="00F103ED">
        <w:rPr>
          <w:b/>
          <w:bCs/>
        </w:rPr>
        <w:t>  </w:t>
      </w:r>
    </w:p>
    <w:p w14:paraId="538FC197" w14:textId="77777777" w:rsidR="005D42BB" w:rsidRPr="00F103ED" w:rsidRDefault="005D42BB" w:rsidP="005D42BB">
      <w:r w:rsidRPr="00F103ED">
        <w:rPr>
          <w:b/>
          <w:bCs/>
        </w:rPr>
        <w:t>• KOL Engagement: </w:t>
      </w:r>
      <w:r w:rsidRPr="00F103ED">
        <w:t xml:space="preserve">Leverage and expand </w:t>
      </w:r>
      <w:proofErr w:type="spellStart"/>
      <w:r w:rsidRPr="00F103ED">
        <w:t>NeuWave's</w:t>
      </w:r>
      <w:proofErr w:type="spellEnd"/>
      <w:r w:rsidRPr="00F103ED">
        <w:t xml:space="preserve"> network of Key Opinion Leaders (KOLs) and healthcare professionals to validate device design and clinical relevance. </w:t>
      </w:r>
    </w:p>
    <w:p w14:paraId="4D02A87A" w14:textId="77777777" w:rsidR="005D42BB" w:rsidRPr="00F103ED" w:rsidRDefault="005D42BB" w:rsidP="005D42BB">
      <w:r w:rsidRPr="00F103ED">
        <w:rPr>
          <w:b/>
          <w:bCs/>
        </w:rPr>
        <w:t> </w:t>
      </w:r>
    </w:p>
    <w:p w14:paraId="7A063C5D" w14:textId="77777777" w:rsidR="005D42BB" w:rsidRPr="00F103ED" w:rsidRDefault="005D42BB" w:rsidP="005D42BB">
      <w:r w:rsidRPr="00F103ED">
        <w:rPr>
          <w:b/>
          <w:bCs/>
        </w:rPr>
        <w:t>Medical Governance &amp; Safety</w:t>
      </w:r>
    </w:p>
    <w:p w14:paraId="5C46B924" w14:textId="77777777" w:rsidR="005D42BB" w:rsidRPr="00F103ED" w:rsidRDefault="005D42BB" w:rsidP="005D42BB">
      <w:r w:rsidRPr="00F103ED">
        <w:rPr>
          <w:b/>
          <w:bCs/>
        </w:rPr>
        <w:t>• Medical Oversight: </w:t>
      </w:r>
      <w:r w:rsidRPr="00F103ED">
        <w:t xml:space="preserve">Manage Medical Affairs partnership that Provides medical oversight and sign-off for Clinical Evaluation Reports (CERs), Summary of Safety &amp; Clinical Performance (SSCPs), and Risk–benefit narratives (ISO 14971). </w:t>
      </w:r>
    </w:p>
    <w:p w14:paraId="20396F93" w14:textId="77777777" w:rsidR="005D42BB" w:rsidRPr="00F103ED" w:rsidRDefault="005D42BB" w:rsidP="005D42BB">
      <w:r w:rsidRPr="00F103ED">
        <w:rPr>
          <w:b/>
          <w:bCs/>
        </w:rPr>
        <w:t>• Safety Monitoring: </w:t>
      </w:r>
      <w:r w:rsidRPr="00F103ED">
        <w:t xml:space="preserve">Execute medical safety monitoring for active trials and review complaints involving patient injury or clinical risk. </w:t>
      </w:r>
    </w:p>
    <w:p w14:paraId="567A178B" w14:textId="77777777" w:rsidR="005D42BB" w:rsidRPr="00F103ED" w:rsidRDefault="005D42BB" w:rsidP="005D42BB">
      <w:r w:rsidRPr="00F103ED">
        <w:rPr>
          <w:b/>
          <w:bCs/>
        </w:rPr>
        <w:t>• Compliance Input: </w:t>
      </w:r>
      <w:r w:rsidRPr="00F103ED">
        <w:t xml:space="preserve">Contribute medical input to IFUs, labeling, and risk management files. </w:t>
      </w:r>
    </w:p>
    <w:p w14:paraId="091DB32A" w14:textId="24E611BB" w:rsidR="00D75E1F" w:rsidRPr="00D75E1F" w:rsidRDefault="00D75E1F" w:rsidP="005D42BB">
      <w:r w:rsidRPr="00D75E1F">
        <w:lastRenderedPageBreak/>
        <w:t> </w:t>
      </w:r>
    </w:p>
    <w:p w14:paraId="536F044F" w14:textId="77777777" w:rsidR="00D75E1F" w:rsidRPr="00081F4C" w:rsidRDefault="00D75E1F" w:rsidP="00D75E1F">
      <w:pPr>
        <w:rPr>
          <w:color w:val="002060"/>
          <w:sz w:val="28"/>
          <w:szCs w:val="28"/>
        </w:rPr>
      </w:pPr>
      <w:r w:rsidRPr="00081F4C">
        <w:rPr>
          <w:b/>
          <w:bCs/>
          <w:color w:val="002060"/>
          <w:sz w:val="28"/>
          <w:szCs w:val="28"/>
        </w:rPr>
        <w:t>Education, Experience &amp; Skills</w:t>
      </w:r>
      <w:r w:rsidRPr="00081F4C">
        <w:rPr>
          <w:color w:val="002060"/>
          <w:sz w:val="28"/>
          <w:szCs w:val="28"/>
        </w:rPr>
        <w:t> </w:t>
      </w:r>
    </w:p>
    <w:p w14:paraId="4D9C43F9" w14:textId="77777777" w:rsidR="005D42BB" w:rsidRPr="00F103ED" w:rsidRDefault="005D42BB" w:rsidP="005D42BB">
      <w:pPr>
        <w:numPr>
          <w:ilvl w:val="0"/>
          <w:numId w:val="14"/>
        </w:numPr>
      </w:pPr>
      <w:r w:rsidRPr="00F103ED">
        <w:t>Bachelor’s or advanced degree in a scientific or clinical field; advanced medical degree preferred.  </w:t>
      </w:r>
    </w:p>
    <w:p w14:paraId="7EE87A53" w14:textId="77777777" w:rsidR="005D42BB" w:rsidRPr="00F103ED" w:rsidRDefault="005D42BB" w:rsidP="005D42BB">
      <w:pPr>
        <w:numPr>
          <w:ilvl w:val="0"/>
          <w:numId w:val="14"/>
        </w:numPr>
      </w:pPr>
      <w:r w:rsidRPr="00F103ED">
        <w:t xml:space="preserve">10+ years of clinical and medical affairs leadership experience, specifically within the MedTech or a highly regulated medical device industry, ideally in Life Sciences, MedTech, or a highly regulated </w:t>
      </w:r>
      <w:proofErr w:type="gramStart"/>
      <w:r w:rsidRPr="00F103ED">
        <w:t>industry..</w:t>
      </w:r>
      <w:proofErr w:type="gramEnd"/>
    </w:p>
    <w:p w14:paraId="37A9BE4F" w14:textId="77777777" w:rsidR="005D42BB" w:rsidRPr="00F103ED" w:rsidRDefault="005D42BB" w:rsidP="005D42BB">
      <w:pPr>
        <w:numPr>
          <w:ilvl w:val="0"/>
          <w:numId w:val="14"/>
        </w:numPr>
      </w:pPr>
      <w:r w:rsidRPr="00F103ED">
        <w:t>Business-First: Proven ability to minimize fixed personnel costs by possessing cross-functional skills and the flexibility to manage both high-level strategy and tactical execution.  </w:t>
      </w:r>
    </w:p>
    <w:p w14:paraId="05F6B5CB" w14:textId="77777777" w:rsidR="005D42BB" w:rsidRPr="00F103ED" w:rsidRDefault="005D42BB" w:rsidP="005D42BB">
      <w:pPr>
        <w:numPr>
          <w:ilvl w:val="0"/>
          <w:numId w:val="14"/>
        </w:numPr>
      </w:pPr>
      <w:r w:rsidRPr="00F103ED">
        <w:t xml:space="preserve">Standards Knowledge: Strong knowledge of clinical trial operations, regulatory standards (ISO 14971, </w:t>
      </w:r>
      <w:proofErr w:type="spellStart"/>
      <w:r w:rsidRPr="00F103ED">
        <w:t>GxP</w:t>
      </w:r>
      <w:proofErr w:type="spellEnd"/>
      <w:r w:rsidRPr="00F103ED">
        <w:t>), and evidence generation principles.  </w:t>
      </w:r>
    </w:p>
    <w:p w14:paraId="64A8DF19" w14:textId="77777777" w:rsidR="005D42BB" w:rsidRPr="00F103ED" w:rsidRDefault="005D42BB" w:rsidP="005D42BB">
      <w:pPr>
        <w:numPr>
          <w:ilvl w:val="0"/>
          <w:numId w:val="14"/>
        </w:numPr>
      </w:pPr>
      <w:r w:rsidRPr="00F103ED">
        <w:t>Vendor Management: Demonstrated experience managing complex clinical vendor relationships and departmental</w:t>
      </w:r>
    </w:p>
    <w:p w14:paraId="3D839E52" w14:textId="77777777" w:rsidR="005D42BB" w:rsidRPr="00F103ED" w:rsidRDefault="005D42BB" w:rsidP="005D42BB">
      <w:r w:rsidRPr="00F103ED">
        <w:rPr>
          <w:b/>
          <w:bCs/>
        </w:rPr>
        <w:t>Preferred Skills</w:t>
      </w:r>
    </w:p>
    <w:p w14:paraId="7D5D7A44" w14:textId="77777777" w:rsidR="005D42BB" w:rsidRPr="00F103ED" w:rsidRDefault="005D42BB" w:rsidP="005D42BB">
      <w:pPr>
        <w:numPr>
          <w:ilvl w:val="0"/>
          <w:numId w:val="15"/>
        </w:numPr>
      </w:pPr>
      <w:r w:rsidRPr="00F103ED">
        <w:t>Experience with hybrid work environments (office and field employees).</w:t>
      </w:r>
    </w:p>
    <w:p w14:paraId="062871AD" w14:textId="77777777" w:rsidR="005D42BB" w:rsidRPr="00F103ED" w:rsidRDefault="005D42BB" w:rsidP="005D42BB">
      <w:pPr>
        <w:numPr>
          <w:ilvl w:val="0"/>
          <w:numId w:val="15"/>
        </w:numPr>
      </w:pPr>
      <w:r w:rsidRPr="00F103ED">
        <w:t>Data Analytics: Experience with real-world clinical data interpretation and post-market clinical follow-up (PMCF) activities.  </w:t>
      </w:r>
    </w:p>
    <w:p w14:paraId="589DADC6" w14:textId="77777777" w:rsidR="005D42BB" w:rsidRPr="00F103ED" w:rsidRDefault="005D42BB" w:rsidP="005D42BB">
      <w:pPr>
        <w:numPr>
          <w:ilvl w:val="0"/>
          <w:numId w:val="15"/>
        </w:numPr>
      </w:pPr>
      <w:r w:rsidRPr="00F103ED">
        <w:t>Technical Familiarity: Familiarity with imaging platforms and EDC tools like Medidata RAVE or MMI.  </w:t>
      </w:r>
    </w:p>
    <w:p w14:paraId="3169234C" w14:textId="16E9CD43" w:rsidR="00D75E1F" w:rsidRPr="00D75E1F" w:rsidRDefault="005D42BB" w:rsidP="005D42BB">
      <w:pPr>
        <w:numPr>
          <w:ilvl w:val="0"/>
          <w:numId w:val="15"/>
        </w:numPr>
      </w:pPr>
      <w:r w:rsidRPr="00F103ED">
        <w:t>Market Access: Experience influencing clinical guidelines and medical society positioning. </w:t>
      </w:r>
      <w:r w:rsidR="00D75E1F" w:rsidRPr="00D75E1F">
        <w:br/>
        <w:t> </w:t>
      </w:r>
    </w:p>
    <w:p w14:paraId="13DC2BC3" w14:textId="1C1B4615" w:rsidR="00D75E1F" w:rsidRPr="00081F4C" w:rsidRDefault="00D75E1F" w:rsidP="00D75E1F">
      <w:pPr>
        <w:rPr>
          <w:color w:val="002060"/>
          <w:sz w:val="28"/>
          <w:szCs w:val="28"/>
        </w:rPr>
      </w:pPr>
      <w:r w:rsidRPr="00081F4C">
        <w:rPr>
          <w:b/>
          <w:bCs/>
          <w:color w:val="002060"/>
          <w:sz w:val="28"/>
          <w:szCs w:val="28"/>
        </w:rPr>
        <w:t>Location </w:t>
      </w:r>
      <w:r w:rsidRPr="00081F4C">
        <w:rPr>
          <w:color w:val="002060"/>
          <w:sz w:val="28"/>
          <w:szCs w:val="28"/>
        </w:rPr>
        <w:t> </w:t>
      </w:r>
    </w:p>
    <w:p w14:paraId="25AF8FA6" w14:textId="77C58418" w:rsidR="005D42BB" w:rsidRPr="00F103ED" w:rsidRDefault="007E00F6" w:rsidP="005D42BB">
      <w:r>
        <w:t>This position will be based in Madison, WI</w:t>
      </w:r>
      <w:r w:rsidR="005D42BB">
        <w:t xml:space="preserve"> -- </w:t>
      </w:r>
      <w:r w:rsidR="005D42BB" w:rsidRPr="00F103ED">
        <w:t>remote considered</w:t>
      </w:r>
    </w:p>
    <w:p w14:paraId="116629D3" w14:textId="5B26A3ED" w:rsidR="00D75E1F" w:rsidRPr="00D75E1F" w:rsidRDefault="00D75E1F" w:rsidP="00D75E1F">
      <w:r w:rsidRPr="00D75E1F">
        <w:t> </w:t>
      </w:r>
    </w:p>
    <w:p w14:paraId="3C98EA3A" w14:textId="38CD20B9" w:rsidR="00D75E1F" w:rsidRPr="00081F4C" w:rsidRDefault="00D75E1F" w:rsidP="00D75E1F">
      <w:pPr>
        <w:rPr>
          <w:color w:val="002060"/>
          <w:sz w:val="28"/>
          <w:szCs w:val="28"/>
        </w:rPr>
      </w:pPr>
      <w:r w:rsidRPr="00081F4C">
        <w:rPr>
          <w:b/>
          <w:bCs/>
          <w:color w:val="002060"/>
          <w:sz w:val="28"/>
          <w:szCs w:val="28"/>
        </w:rPr>
        <w:t>Equal Opportunity Employer</w:t>
      </w:r>
      <w:r w:rsidRPr="00081F4C">
        <w:rPr>
          <w:color w:val="002060"/>
          <w:sz w:val="28"/>
          <w:szCs w:val="28"/>
        </w:rPr>
        <w:t> </w:t>
      </w:r>
    </w:p>
    <w:p w14:paraId="4DD73E1B" w14:textId="11B2A150" w:rsidR="00316737" w:rsidRDefault="00D75E1F">
      <w:r w:rsidRPr="00D75E1F">
        <w:t>NeuWave Medical is an equal opportunity employer. We are committed to creating an inclusive environment and do not discriminate based on race, color, religion, sex, sexual orientation, gender identity, national origin, age, disability, veteran status, or any other protected status. </w:t>
      </w:r>
    </w:p>
    <w:sectPr w:rsidR="00316737" w:rsidSect="00511E35">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1389"/>
    <w:multiLevelType w:val="multilevel"/>
    <w:tmpl w:val="48B2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8C5D4E"/>
    <w:multiLevelType w:val="multilevel"/>
    <w:tmpl w:val="A6C8B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742A2A"/>
    <w:multiLevelType w:val="multilevel"/>
    <w:tmpl w:val="B5F4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5A0E14"/>
    <w:multiLevelType w:val="multilevel"/>
    <w:tmpl w:val="A62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F0601"/>
    <w:multiLevelType w:val="multilevel"/>
    <w:tmpl w:val="FE5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62077"/>
    <w:multiLevelType w:val="multilevel"/>
    <w:tmpl w:val="4D2E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8B45AAE"/>
    <w:multiLevelType w:val="multilevel"/>
    <w:tmpl w:val="256E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5457F3"/>
    <w:multiLevelType w:val="multilevel"/>
    <w:tmpl w:val="874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0D203B"/>
    <w:multiLevelType w:val="multilevel"/>
    <w:tmpl w:val="7A0ED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BE34E9"/>
    <w:multiLevelType w:val="multilevel"/>
    <w:tmpl w:val="10E2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31A1DE2"/>
    <w:multiLevelType w:val="multilevel"/>
    <w:tmpl w:val="1CFC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5B391E"/>
    <w:multiLevelType w:val="multilevel"/>
    <w:tmpl w:val="CFE2B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7A3434"/>
    <w:multiLevelType w:val="multilevel"/>
    <w:tmpl w:val="E144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396BFE"/>
    <w:multiLevelType w:val="multilevel"/>
    <w:tmpl w:val="7AD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920812">
    <w:abstractNumId w:val="0"/>
  </w:num>
  <w:num w:numId="2" w16cid:durableId="127599678">
    <w:abstractNumId w:val="12"/>
  </w:num>
  <w:num w:numId="3" w16cid:durableId="1295023641">
    <w:abstractNumId w:val="2"/>
  </w:num>
  <w:num w:numId="4" w16cid:durableId="1441490593">
    <w:abstractNumId w:val="7"/>
  </w:num>
  <w:num w:numId="5" w16cid:durableId="1480263712">
    <w:abstractNumId w:val="6"/>
  </w:num>
  <w:num w:numId="6" w16cid:durableId="1976182170">
    <w:abstractNumId w:val="9"/>
  </w:num>
  <w:num w:numId="7" w16cid:durableId="1978140261">
    <w:abstractNumId w:val="1"/>
  </w:num>
  <w:num w:numId="8" w16cid:durableId="275841832">
    <w:abstractNumId w:val="4"/>
  </w:num>
  <w:num w:numId="9" w16cid:durableId="433944125">
    <w:abstractNumId w:val="3"/>
  </w:num>
  <w:num w:numId="10" w16cid:durableId="58137939">
    <w:abstractNumId w:val="5"/>
  </w:num>
  <w:num w:numId="11" w16cid:durableId="765155327">
    <w:abstractNumId w:val="11"/>
  </w:num>
  <w:num w:numId="12" w16cid:durableId="824054537">
    <w:abstractNumId w:val="8"/>
  </w:num>
  <w:num w:numId="13" w16cid:durableId="828400467">
    <w:abstractNumId w:val="13"/>
  </w:num>
  <w:num w:numId="14" w16cid:durableId="540749309">
    <w:abstractNumId w:val="10"/>
  </w:num>
  <w:num w:numId="15" w16cid:durableId="2728335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E1F"/>
    <w:rsid w:val="00081F4C"/>
    <w:rsid w:val="000962B8"/>
    <w:rsid w:val="000A5F88"/>
    <w:rsid w:val="0018694A"/>
    <w:rsid w:val="00193AEE"/>
    <w:rsid w:val="001D05D1"/>
    <w:rsid w:val="002321D5"/>
    <w:rsid w:val="00244EC8"/>
    <w:rsid w:val="00316737"/>
    <w:rsid w:val="003A5317"/>
    <w:rsid w:val="003E0802"/>
    <w:rsid w:val="00421C82"/>
    <w:rsid w:val="004B2683"/>
    <w:rsid w:val="004E6D61"/>
    <w:rsid w:val="00511E35"/>
    <w:rsid w:val="005624A1"/>
    <w:rsid w:val="005A72EC"/>
    <w:rsid w:val="005D42BB"/>
    <w:rsid w:val="00721EEA"/>
    <w:rsid w:val="007E00F6"/>
    <w:rsid w:val="007F4DF2"/>
    <w:rsid w:val="00822D99"/>
    <w:rsid w:val="00841DFC"/>
    <w:rsid w:val="00857251"/>
    <w:rsid w:val="0087509D"/>
    <w:rsid w:val="00942B9F"/>
    <w:rsid w:val="00A95468"/>
    <w:rsid w:val="00C12451"/>
    <w:rsid w:val="00D75E1F"/>
    <w:rsid w:val="00D82655"/>
    <w:rsid w:val="00D85F2C"/>
    <w:rsid w:val="00EC09C9"/>
    <w:rsid w:val="00F00569"/>
    <w:rsid w:val="00F103ED"/>
    <w:rsid w:val="00F315E6"/>
    <w:rsid w:val="00FB093C"/>
    <w:rsid w:val="246CE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B191"/>
  <w15:chartTrackingRefBased/>
  <w15:docId w15:val="{732114C5-52A0-4AD6-B170-63CED59E6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5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5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E1F"/>
    <w:rPr>
      <w:rFonts w:eastAsiaTheme="majorEastAsia" w:cstheme="majorBidi"/>
      <w:color w:val="272727" w:themeColor="text1" w:themeTint="D8"/>
    </w:rPr>
  </w:style>
  <w:style w:type="paragraph" w:styleId="Title">
    <w:name w:val="Title"/>
    <w:basedOn w:val="Normal"/>
    <w:next w:val="Normal"/>
    <w:link w:val="TitleChar"/>
    <w:uiPriority w:val="10"/>
    <w:qFormat/>
    <w:rsid w:val="00D75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E1F"/>
    <w:pPr>
      <w:spacing w:before="160"/>
      <w:jc w:val="center"/>
    </w:pPr>
    <w:rPr>
      <w:i/>
      <w:iCs/>
      <w:color w:val="404040" w:themeColor="text1" w:themeTint="BF"/>
    </w:rPr>
  </w:style>
  <w:style w:type="character" w:customStyle="1" w:styleId="QuoteChar">
    <w:name w:val="Quote Char"/>
    <w:basedOn w:val="DefaultParagraphFont"/>
    <w:link w:val="Quote"/>
    <w:uiPriority w:val="29"/>
    <w:rsid w:val="00D75E1F"/>
    <w:rPr>
      <w:i/>
      <w:iCs/>
      <w:color w:val="404040" w:themeColor="text1" w:themeTint="BF"/>
    </w:rPr>
  </w:style>
  <w:style w:type="paragraph" w:styleId="ListParagraph">
    <w:name w:val="List Paragraph"/>
    <w:basedOn w:val="Normal"/>
    <w:uiPriority w:val="34"/>
    <w:qFormat/>
    <w:rsid w:val="00D75E1F"/>
    <w:pPr>
      <w:ind w:left="720"/>
      <w:contextualSpacing/>
    </w:pPr>
  </w:style>
  <w:style w:type="character" w:styleId="IntenseEmphasis">
    <w:name w:val="Intense Emphasis"/>
    <w:basedOn w:val="DefaultParagraphFont"/>
    <w:uiPriority w:val="21"/>
    <w:qFormat/>
    <w:rsid w:val="00D75E1F"/>
    <w:rPr>
      <w:i/>
      <w:iCs/>
      <w:color w:val="0F4761" w:themeColor="accent1" w:themeShade="BF"/>
    </w:rPr>
  </w:style>
  <w:style w:type="paragraph" w:styleId="IntenseQuote">
    <w:name w:val="Intense Quote"/>
    <w:basedOn w:val="Normal"/>
    <w:next w:val="Normal"/>
    <w:link w:val="IntenseQuoteChar"/>
    <w:uiPriority w:val="30"/>
    <w:qFormat/>
    <w:rsid w:val="00D75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E1F"/>
    <w:rPr>
      <w:i/>
      <w:iCs/>
      <w:color w:val="0F4761" w:themeColor="accent1" w:themeShade="BF"/>
    </w:rPr>
  </w:style>
  <w:style w:type="character" w:styleId="IntenseReference">
    <w:name w:val="Intense Reference"/>
    <w:basedOn w:val="DefaultParagraphFont"/>
    <w:uiPriority w:val="32"/>
    <w:qFormat/>
    <w:rsid w:val="00D75E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7c9eee-f8e0-48fd-9df8-f899ee15649c">
      <Terms xmlns="http://schemas.microsoft.com/office/infopath/2007/PartnerControls"/>
    </lcf76f155ced4ddcb4097134ff3c332f>
    <TaxCatchAll xmlns="e532ef76-af5e-4be8-ae79-0856acbd74c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85BDCF3617BD4A834E59153F5EA0DC" ma:contentTypeVersion="10" ma:contentTypeDescription="Create a new document." ma:contentTypeScope="" ma:versionID="626395eebf0feea51413fc0ca004749b">
  <xsd:schema xmlns:xsd="http://www.w3.org/2001/XMLSchema" xmlns:xs="http://www.w3.org/2001/XMLSchema" xmlns:p="http://schemas.microsoft.com/office/2006/metadata/properties" xmlns:ns2="357c9eee-f8e0-48fd-9df8-f899ee15649c" xmlns:ns3="e532ef76-af5e-4be8-ae79-0856acbd74c4" targetNamespace="http://schemas.microsoft.com/office/2006/metadata/properties" ma:root="true" ma:fieldsID="81fc1845fb71307eb00488d383670aa7" ns2:_="" ns3:_="">
    <xsd:import namespace="357c9eee-f8e0-48fd-9df8-f899ee15649c"/>
    <xsd:import namespace="e532ef76-af5e-4be8-ae79-0856acbd74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7c9eee-f8e0-48fd-9df8-f899ee15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53d915-ad50-467d-b1c1-e6788107366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2ef76-af5e-4be8-ae79-0856acbd74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b4689-a060-416f-96ee-bb9a6c97601b}" ma:internalName="TaxCatchAll" ma:showField="CatchAllData" ma:web="e532ef76-af5e-4be8-ae79-0856acbd74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4DAA4-7288-43C0-B121-7D7E2D3FE7C6}">
  <ds:schemaRefs>
    <ds:schemaRef ds:uri="http://schemas.microsoft.com/office/2006/metadata/properties"/>
    <ds:schemaRef ds:uri="http://schemas.microsoft.com/office/infopath/2007/PartnerControls"/>
    <ds:schemaRef ds:uri="357c9eee-f8e0-48fd-9df8-f899ee15649c"/>
    <ds:schemaRef ds:uri="e532ef76-af5e-4be8-ae79-0856acbd74c4"/>
  </ds:schemaRefs>
</ds:datastoreItem>
</file>

<file path=customXml/itemProps2.xml><?xml version="1.0" encoding="utf-8"?>
<ds:datastoreItem xmlns:ds="http://schemas.openxmlformats.org/officeDocument/2006/customXml" ds:itemID="{B591B16A-06FF-4E42-89DC-C5BA6430A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7c9eee-f8e0-48fd-9df8-f899ee15649c"/>
    <ds:schemaRef ds:uri="e532ef76-af5e-4be8-ae79-0856acbd7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68C61-9255-4831-A9BC-5183258A35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Lynae PETERSON</dc:creator>
  <cp:keywords/>
  <dc:description/>
  <cp:lastModifiedBy>Lynae PETERSON</cp:lastModifiedBy>
  <cp:revision>4</cp:revision>
  <dcterms:created xsi:type="dcterms:W3CDTF">2026-02-17T00:34:00Z</dcterms:created>
  <dcterms:modified xsi:type="dcterms:W3CDTF">2026-02-17T00:36:00Z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0x0101007E85BDCF3617BD4A834E59153F5EA0DC</vt:lpwstr>
  </property>
  <property fmtid="{D5CDD505-2E9C-101B-9397-08002B2CF9AE}" pid="3" name="MediaServiceImageTags">
    <vt:lpwstr/>
  </property>
</Properties>
</file>