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191D8" w14:textId="77777777" w:rsidR="00643CE0" w:rsidRDefault="00643CE0" w:rsidP="000E3264">
      <w:pPr>
        <w:pStyle w:val="Heading2"/>
        <w:rPr>
          <w:b/>
          <w:bCs/>
          <w:sz w:val="28"/>
          <w:szCs w:val="28"/>
        </w:rPr>
      </w:pPr>
    </w:p>
    <w:p w14:paraId="20B865C9" w14:textId="5CEC68DF" w:rsidR="000E3264" w:rsidRPr="001F6121" w:rsidRDefault="000E3264" w:rsidP="000E3264">
      <w:pPr>
        <w:pStyle w:val="Heading2"/>
        <w:rPr>
          <w:rFonts w:asciiTheme="minorHAnsi" w:eastAsiaTheme="minorHAnsi" w:hAnsiTheme="minorHAnsi" w:cstheme="minorBidi"/>
          <w:color w:val="auto"/>
          <w:sz w:val="28"/>
          <w:szCs w:val="28"/>
        </w:rPr>
      </w:pPr>
      <w:r w:rsidRPr="001F6121">
        <w:rPr>
          <w:b/>
          <w:bCs/>
          <w:sz w:val="28"/>
          <w:szCs w:val="28"/>
        </w:rPr>
        <w:t xml:space="preserve">Job Title: </w:t>
      </w:r>
      <w:r w:rsidR="00EA7D81">
        <w:rPr>
          <w:b/>
          <w:bCs/>
          <w:sz w:val="28"/>
          <w:szCs w:val="28"/>
        </w:rPr>
        <w:t>VP, Global Strategic Marketing</w:t>
      </w:r>
    </w:p>
    <w:p w14:paraId="5D25A6DC" w14:textId="069D0BEB" w:rsidR="000E3264" w:rsidRPr="001F6121" w:rsidRDefault="001F6121" w:rsidP="000E3264">
      <w:pPr>
        <w:pStyle w:val="Heading2"/>
        <w:rPr>
          <w:rFonts w:asciiTheme="minorHAnsi" w:eastAsiaTheme="minorHAnsi" w:hAnsiTheme="minorHAnsi" w:cstheme="minorBidi"/>
          <w:color w:val="auto"/>
          <w:sz w:val="28"/>
          <w:szCs w:val="28"/>
        </w:rPr>
      </w:pPr>
      <w:r w:rsidRPr="001F6121">
        <w:rPr>
          <w:b/>
          <w:bCs/>
          <w:sz w:val="28"/>
          <w:szCs w:val="28"/>
        </w:rPr>
        <w:t>Department</w:t>
      </w:r>
      <w:r w:rsidR="000E3264" w:rsidRPr="001F6121">
        <w:rPr>
          <w:b/>
          <w:bCs/>
          <w:sz w:val="28"/>
          <w:szCs w:val="28"/>
        </w:rPr>
        <w:t xml:space="preserve">: </w:t>
      </w:r>
      <w:r w:rsidRPr="001F6121">
        <w:rPr>
          <w:rFonts w:asciiTheme="minorHAnsi" w:eastAsiaTheme="minorHAnsi" w:hAnsiTheme="minorHAnsi" w:cstheme="minorBidi"/>
          <w:color w:val="auto"/>
          <w:sz w:val="28"/>
          <w:szCs w:val="28"/>
        </w:rPr>
        <w:t xml:space="preserve"> </w:t>
      </w:r>
      <w:r w:rsidR="00EA7D81">
        <w:rPr>
          <w:rFonts w:asciiTheme="minorHAnsi" w:eastAsiaTheme="minorHAnsi" w:hAnsiTheme="minorHAnsi" w:cstheme="minorBidi"/>
          <w:color w:val="auto"/>
          <w:sz w:val="28"/>
          <w:szCs w:val="28"/>
        </w:rPr>
        <w:t>Global Strategic Marketing</w:t>
      </w:r>
    </w:p>
    <w:p w14:paraId="1EADE156" w14:textId="7C481069" w:rsidR="001F6121" w:rsidRPr="001E4E51" w:rsidRDefault="001F6121" w:rsidP="38B59B08">
      <w:pPr>
        <w:pStyle w:val="Heading2"/>
        <w:rPr>
          <w:rFonts w:asciiTheme="minorHAnsi" w:eastAsiaTheme="minorHAnsi" w:hAnsiTheme="minorHAnsi" w:cstheme="minorBidi"/>
          <w:color w:val="auto"/>
          <w:sz w:val="28"/>
          <w:szCs w:val="28"/>
        </w:rPr>
      </w:pPr>
      <w:r>
        <w:rPr>
          <w:b/>
          <w:bCs/>
          <w:sz w:val="28"/>
          <w:szCs w:val="28"/>
        </w:rPr>
        <w:t>Reports to</w:t>
      </w:r>
      <w:r w:rsidRPr="001F6121">
        <w:rPr>
          <w:b/>
          <w:bCs/>
          <w:sz w:val="28"/>
          <w:szCs w:val="28"/>
        </w:rPr>
        <w:t xml:space="preserve">: </w:t>
      </w:r>
      <w:r w:rsidR="00EA7D81" w:rsidRPr="001E4E51">
        <w:rPr>
          <w:rFonts w:asciiTheme="minorHAnsi" w:eastAsiaTheme="minorHAnsi" w:hAnsiTheme="minorHAnsi" w:cstheme="minorBidi"/>
          <w:color w:val="auto"/>
          <w:sz w:val="28"/>
          <w:szCs w:val="28"/>
        </w:rPr>
        <w:t>President</w:t>
      </w:r>
      <w:r w:rsidR="00EA7D81">
        <w:rPr>
          <w:b/>
          <w:bCs/>
          <w:sz w:val="28"/>
          <w:szCs w:val="28"/>
        </w:rPr>
        <w:t xml:space="preserve"> </w:t>
      </w:r>
      <w:r w:rsidR="00EA7D81" w:rsidRPr="001E4E51">
        <w:rPr>
          <w:rFonts w:asciiTheme="minorHAnsi" w:eastAsiaTheme="minorHAnsi" w:hAnsiTheme="minorHAnsi" w:cstheme="minorBidi"/>
          <w:color w:val="auto"/>
          <w:sz w:val="28"/>
          <w:szCs w:val="28"/>
        </w:rPr>
        <w:t xml:space="preserve">of </w:t>
      </w:r>
      <w:proofErr w:type="spellStart"/>
      <w:r w:rsidR="00EA7D81" w:rsidRPr="001E4E51">
        <w:rPr>
          <w:rFonts w:asciiTheme="minorHAnsi" w:eastAsiaTheme="minorHAnsi" w:hAnsiTheme="minorHAnsi" w:cstheme="minorBidi"/>
          <w:color w:val="auto"/>
          <w:sz w:val="28"/>
          <w:szCs w:val="28"/>
        </w:rPr>
        <w:t>NeuWa</w:t>
      </w:r>
      <w:r w:rsidR="001E4E51" w:rsidRPr="001E4E51">
        <w:rPr>
          <w:rFonts w:asciiTheme="minorHAnsi" w:eastAsiaTheme="minorHAnsi" w:hAnsiTheme="minorHAnsi" w:cstheme="minorBidi"/>
          <w:color w:val="auto"/>
          <w:sz w:val="28"/>
          <w:szCs w:val="28"/>
        </w:rPr>
        <w:t>ve</w:t>
      </w:r>
      <w:proofErr w:type="spellEnd"/>
      <w:r w:rsidR="001E4E51" w:rsidRPr="001E4E51">
        <w:rPr>
          <w:rFonts w:asciiTheme="minorHAnsi" w:eastAsiaTheme="minorHAnsi" w:hAnsiTheme="minorHAnsi" w:cstheme="minorBidi"/>
          <w:color w:val="auto"/>
          <w:sz w:val="28"/>
          <w:szCs w:val="28"/>
        </w:rPr>
        <w:t xml:space="preserve"> Medical and Head of Commercial for Precision IO Group</w:t>
      </w:r>
    </w:p>
    <w:p w14:paraId="0FAA6F4B" w14:textId="6A9BC7BC" w:rsidR="001F6121" w:rsidRDefault="00D92CB3" w:rsidP="001F6121">
      <w:pPr>
        <w:pStyle w:val="Heading2"/>
        <w:rPr>
          <w:rFonts w:asciiTheme="minorHAnsi" w:eastAsiaTheme="minorHAnsi" w:hAnsiTheme="minorHAnsi" w:cstheme="minorBidi"/>
          <w:color w:val="auto"/>
          <w:sz w:val="28"/>
          <w:szCs w:val="28"/>
        </w:rPr>
      </w:pPr>
      <w:r>
        <w:rPr>
          <w:b/>
          <w:bCs/>
          <w:sz w:val="28"/>
          <w:szCs w:val="28"/>
        </w:rPr>
        <w:t>Employment Type</w:t>
      </w:r>
      <w:r w:rsidR="001F6121" w:rsidRPr="001F6121">
        <w:rPr>
          <w:b/>
          <w:bCs/>
          <w:sz w:val="28"/>
          <w:szCs w:val="28"/>
        </w:rPr>
        <w:t xml:space="preserve">: </w:t>
      </w:r>
      <w:r w:rsidR="001E4E51" w:rsidRPr="001E4E51">
        <w:rPr>
          <w:rFonts w:asciiTheme="minorHAnsi" w:eastAsiaTheme="minorHAnsi" w:hAnsiTheme="minorHAnsi" w:cstheme="minorBidi"/>
          <w:color w:val="auto"/>
          <w:sz w:val="28"/>
          <w:szCs w:val="28"/>
        </w:rPr>
        <w:t>Exempt</w:t>
      </w:r>
      <w:r w:rsidR="001F6121" w:rsidRPr="001F6121">
        <w:rPr>
          <w:rFonts w:asciiTheme="minorHAnsi" w:eastAsiaTheme="minorHAnsi" w:hAnsiTheme="minorHAnsi" w:cstheme="minorBidi"/>
          <w:color w:val="auto"/>
          <w:sz w:val="28"/>
          <w:szCs w:val="28"/>
        </w:rPr>
        <w:t xml:space="preserve"> </w:t>
      </w:r>
      <w:r w:rsidR="00F179F9">
        <w:rPr>
          <w:rFonts w:asciiTheme="minorHAnsi" w:eastAsiaTheme="minorHAnsi" w:hAnsiTheme="minorHAnsi" w:cstheme="minorBidi"/>
          <w:color w:val="auto"/>
          <w:sz w:val="28"/>
          <w:szCs w:val="28"/>
        </w:rPr>
        <w:br/>
      </w:r>
      <w:r w:rsidR="00C1256F">
        <w:rPr>
          <w:rFonts w:asciiTheme="minorHAnsi" w:eastAsiaTheme="minorHAnsi" w:hAnsiTheme="minorHAnsi" w:cstheme="minorBidi"/>
          <w:color w:val="auto"/>
          <w:sz w:val="28"/>
          <w:szCs w:val="28"/>
        </w:rPr>
        <w:br/>
      </w:r>
    </w:p>
    <w:p w14:paraId="54C5394A" w14:textId="045C4A3E" w:rsidR="00F179F9" w:rsidRDefault="00F179F9" w:rsidP="3C713C53">
      <w:pPr>
        <w:pStyle w:val="Heading2"/>
        <w:rPr>
          <w:rFonts w:asciiTheme="minorHAnsi" w:eastAsiaTheme="minorEastAsia" w:hAnsiTheme="minorHAnsi" w:cstheme="minorBidi"/>
          <w:i/>
          <w:iCs/>
          <w:color w:val="auto"/>
          <w:sz w:val="20"/>
          <w:szCs w:val="20"/>
          <w:highlight w:val="yellow"/>
        </w:rPr>
      </w:pPr>
      <w:r w:rsidRPr="3C713C53">
        <w:rPr>
          <w:b/>
          <w:bCs/>
          <w:sz w:val="28"/>
          <w:szCs w:val="28"/>
        </w:rPr>
        <w:t xml:space="preserve">About </w:t>
      </w:r>
      <w:r w:rsidR="0022339A">
        <w:rPr>
          <w:b/>
          <w:bCs/>
          <w:sz w:val="28"/>
          <w:szCs w:val="28"/>
        </w:rPr>
        <w:t>Precision IO Group</w:t>
      </w:r>
      <w:r w:rsidRPr="3C713C53">
        <w:rPr>
          <w:b/>
          <w:bCs/>
          <w:sz w:val="28"/>
          <w:szCs w:val="28"/>
        </w:rPr>
        <w:t xml:space="preserve"> </w:t>
      </w:r>
      <w:r w:rsidRPr="3C713C53">
        <w:rPr>
          <w:rFonts w:asciiTheme="minorHAnsi" w:eastAsiaTheme="minorEastAsia" w:hAnsiTheme="minorHAnsi" w:cstheme="minorBidi"/>
          <w:color w:val="auto"/>
          <w:sz w:val="28"/>
          <w:szCs w:val="28"/>
        </w:rPr>
        <w:t xml:space="preserve"> </w:t>
      </w:r>
    </w:p>
    <w:p w14:paraId="1CF795C4" w14:textId="77777777" w:rsidR="00CF5614" w:rsidRDefault="0067732F" w:rsidP="3C713C53">
      <w:pPr>
        <w:pStyle w:val="Heading2"/>
        <w:spacing w:before="40" w:after="120"/>
        <w:rPr>
          <w:rFonts w:asciiTheme="minorHAnsi" w:eastAsiaTheme="minorEastAsia" w:hAnsiTheme="minorHAnsi" w:cstheme="minorBidi"/>
          <w:color w:val="auto"/>
          <w:sz w:val="24"/>
          <w:szCs w:val="24"/>
        </w:rPr>
      </w:pPr>
      <w:r w:rsidRPr="0067732F">
        <w:rPr>
          <w:rFonts w:asciiTheme="minorHAnsi" w:eastAsiaTheme="minorEastAsia" w:hAnsiTheme="minorHAnsi" w:cstheme="minorBidi"/>
          <w:color w:val="auto"/>
          <w:sz w:val="24"/>
          <w:szCs w:val="24"/>
        </w:rPr>
        <w:t xml:space="preserve">Precision IO Group is a newly formed entity created through the combination of Quantum Surgical and </w:t>
      </w:r>
      <w:proofErr w:type="spellStart"/>
      <w:r w:rsidRPr="0067732F">
        <w:rPr>
          <w:rFonts w:asciiTheme="minorHAnsi" w:eastAsiaTheme="minorEastAsia" w:hAnsiTheme="minorHAnsi" w:cstheme="minorBidi"/>
          <w:color w:val="auto"/>
          <w:sz w:val="24"/>
          <w:szCs w:val="24"/>
        </w:rPr>
        <w:t>NeuWave</w:t>
      </w:r>
      <w:proofErr w:type="spellEnd"/>
      <w:r w:rsidRPr="0067732F">
        <w:rPr>
          <w:rFonts w:asciiTheme="minorHAnsi" w:eastAsiaTheme="minorEastAsia" w:hAnsiTheme="minorHAnsi" w:cstheme="minorBidi"/>
          <w:color w:val="auto"/>
          <w:sz w:val="24"/>
          <w:szCs w:val="24"/>
        </w:rPr>
        <w:t xml:space="preserve"> Medical — bringing together complementary technologies, expertise, and global capabilities in interventional oncology.</w:t>
      </w:r>
      <w:r>
        <w:rPr>
          <w:rFonts w:asciiTheme="minorHAnsi" w:eastAsiaTheme="minorEastAsia" w:hAnsiTheme="minorHAnsi" w:cstheme="minorBidi"/>
          <w:color w:val="auto"/>
          <w:sz w:val="24"/>
          <w:szCs w:val="24"/>
        </w:rPr>
        <w:t xml:space="preserve"> </w:t>
      </w:r>
    </w:p>
    <w:p w14:paraId="60429A62" w14:textId="77777777" w:rsidR="00CF5614" w:rsidRDefault="00CF5614" w:rsidP="3C713C53">
      <w:pPr>
        <w:pStyle w:val="Heading2"/>
        <w:spacing w:before="40" w:after="120"/>
        <w:rPr>
          <w:rFonts w:asciiTheme="minorHAnsi" w:eastAsiaTheme="minorEastAsia" w:hAnsiTheme="minorHAnsi" w:cstheme="minorBidi"/>
          <w:color w:val="auto"/>
          <w:sz w:val="24"/>
          <w:szCs w:val="24"/>
        </w:rPr>
      </w:pPr>
      <w:r w:rsidRPr="00CF5614">
        <w:rPr>
          <w:rFonts w:asciiTheme="minorHAnsi" w:eastAsiaTheme="minorEastAsia" w:hAnsiTheme="minorHAnsi" w:cstheme="minorBidi"/>
          <w:color w:val="auto"/>
          <w:sz w:val="24"/>
          <w:szCs w:val="24"/>
        </w:rPr>
        <w:t>The Group is dedicated to advancing cutting-edge innovation that empowers physicians to deliver precise, minimally invasive cancer treatments and improve outcomes for cancer patients. By integrating robotics, AI and enabling remote procedures, the Precision IO Group aims to transform the standard of care in tumor ablation and interventional oncology procedures.</w:t>
      </w:r>
    </w:p>
    <w:p w14:paraId="74224DD5" w14:textId="497E90D1" w:rsidR="3C713C53" w:rsidRPr="002A6DCD" w:rsidRDefault="00360EE8" w:rsidP="002A6DCD">
      <w:pPr>
        <w:pStyle w:val="Heading2"/>
        <w:spacing w:before="40" w:after="120"/>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 xml:space="preserve">Dedicated to elevating interventional oncology programs and outcomes, Quantum Surgical and </w:t>
      </w:r>
      <w:proofErr w:type="spellStart"/>
      <w:r>
        <w:rPr>
          <w:rFonts w:asciiTheme="minorHAnsi" w:eastAsiaTheme="minorEastAsia" w:hAnsiTheme="minorHAnsi" w:cstheme="minorBidi"/>
          <w:color w:val="auto"/>
          <w:sz w:val="24"/>
          <w:szCs w:val="24"/>
        </w:rPr>
        <w:t>NeuWave</w:t>
      </w:r>
      <w:proofErr w:type="spellEnd"/>
      <w:r>
        <w:rPr>
          <w:rFonts w:asciiTheme="minorHAnsi" w:eastAsiaTheme="minorEastAsia" w:hAnsiTheme="minorHAnsi" w:cstheme="minorBidi"/>
          <w:color w:val="auto"/>
          <w:sz w:val="24"/>
          <w:szCs w:val="24"/>
        </w:rPr>
        <w:t xml:space="preserve"> Medical integrate advanced robotic guidance with precision microwave ablation, empowering physicians to treat more challenging lesions for more patients with consistent, evidence-backed solutions.</w:t>
      </w:r>
    </w:p>
    <w:p w14:paraId="13C9D88D" w14:textId="2328ECB0" w:rsidR="000E3264" w:rsidRPr="007006C0" w:rsidRDefault="00F179F9" w:rsidP="000E3264">
      <w:pPr>
        <w:pStyle w:val="Heading2"/>
        <w:rPr>
          <w:sz w:val="28"/>
          <w:szCs w:val="28"/>
        </w:rPr>
      </w:pPr>
      <w:r>
        <w:rPr>
          <w:b/>
          <w:bCs/>
        </w:rPr>
        <w:br/>
      </w:r>
      <w:r w:rsidR="008221E9">
        <w:rPr>
          <w:b/>
          <w:bCs/>
          <w:sz w:val="28"/>
          <w:szCs w:val="28"/>
        </w:rPr>
        <w:t>Position Summary</w:t>
      </w:r>
    </w:p>
    <w:p w14:paraId="13412CA6" w14:textId="6D3C74F1" w:rsidR="00DD3234" w:rsidRDefault="008221E9" w:rsidP="00422F3C">
      <w:r w:rsidRPr="00683D06">
        <w:t xml:space="preserve">The </w:t>
      </w:r>
      <w:r w:rsidR="005174D6" w:rsidRPr="005174D6">
        <w:t>VP, Global Strategic Marketing</w:t>
      </w:r>
      <w:r w:rsidRPr="00683D06">
        <w:t xml:space="preserve"> </w:t>
      </w:r>
      <w:r w:rsidR="00DD3234">
        <w:t>will be a visionary strategic mar</w:t>
      </w:r>
      <w:r w:rsidR="006A071F">
        <w:t>k</w:t>
      </w:r>
      <w:r w:rsidR="00DD3234">
        <w:t>eting</w:t>
      </w:r>
      <w:r w:rsidR="006A071F">
        <w:t xml:space="preserve"> </w:t>
      </w:r>
      <w:r w:rsidR="00DD3234">
        <w:t xml:space="preserve">leader to drive Precision IO Group’s global strategy across interventional oncology treatments and robotic programs and will </w:t>
      </w:r>
      <w:r w:rsidRPr="00683D06">
        <w:t xml:space="preserve">play a key role in supporting </w:t>
      </w:r>
      <w:r w:rsidR="00853403">
        <w:t>Precision IO Group</w:t>
      </w:r>
      <w:r w:rsidRPr="00683D06">
        <w:t xml:space="preserve">’s mission to improve patient outcomes through innovative medical device technologies. </w:t>
      </w:r>
    </w:p>
    <w:p w14:paraId="6AAC0E96" w14:textId="4E8810D7" w:rsidR="00422F3C" w:rsidRDefault="008221E9" w:rsidP="00422F3C">
      <w:r w:rsidRPr="00683D06">
        <w:t xml:space="preserve">This position is responsible for </w:t>
      </w:r>
      <w:r w:rsidR="00422F3C">
        <w:t>lead</w:t>
      </w:r>
      <w:r w:rsidR="00DD3234">
        <w:t>ing</w:t>
      </w:r>
      <w:r w:rsidR="00422F3C">
        <w:t xml:space="preserve"> the development and execution of an integrated portfolio strategy </w:t>
      </w:r>
      <w:r w:rsidR="00422F3C" w:rsidRPr="00DD3234">
        <w:t xml:space="preserve">spanning </w:t>
      </w:r>
      <w:proofErr w:type="spellStart"/>
      <w:r w:rsidR="00422F3C" w:rsidRPr="00DD3234">
        <w:t>NeuWave</w:t>
      </w:r>
      <w:proofErr w:type="spellEnd"/>
      <w:r w:rsidR="00DD3234" w:rsidRPr="00DD3234">
        <w:t xml:space="preserve"> Medical,</w:t>
      </w:r>
      <w:r w:rsidR="00422F3C" w:rsidRPr="00DD3234">
        <w:t xml:space="preserve"> Inc and Quantum Surgical</w:t>
      </w:r>
      <w:r w:rsidR="00DD3234" w:rsidRPr="00DD3234">
        <w:t>,</w:t>
      </w:r>
      <w:r w:rsidR="00422F3C" w:rsidRPr="00DD3234">
        <w:t xml:space="preserve"> Inc. This</w:t>
      </w:r>
      <w:r w:rsidR="00422F3C">
        <w:t xml:space="preserve"> includes a keen focus on leading and coordinating critical processes related to developing strategic marketing plans, market research to drive insight generation and unmet need identification, product and platform strategy, portfolio development and management, new product launches, and business planning and performance tracking. This role is pivotal to expanding Precision IO</w:t>
      </w:r>
      <w:r w:rsidR="00011BA1">
        <w:t xml:space="preserve"> Group</w:t>
      </w:r>
      <w:r w:rsidR="00422F3C">
        <w:t>’s leadership in interventional oncology through differentiated therapy and robotics-enabled solutions.</w:t>
      </w:r>
    </w:p>
    <w:p w14:paraId="65B8732C" w14:textId="783BD86A" w:rsidR="00422F3C" w:rsidRDefault="00422F3C" w:rsidP="00422F3C">
      <w:r>
        <w:lastRenderedPageBreak/>
        <w:t>The primary focus of this role is to lead the strategic evolution of Precision IO</w:t>
      </w:r>
      <w:r w:rsidR="00011BA1">
        <w:t xml:space="preserve"> Group</w:t>
      </w:r>
      <w:r>
        <w:t xml:space="preserve">’s interventional oncology portfolio—accelerating adoption of ablation and related therapies while scaling robotic programs that expand access, consistency, and outcomes across global care pathways. </w:t>
      </w:r>
      <w:r w:rsidR="005B5353">
        <w:t>This position</w:t>
      </w:r>
      <w:r>
        <w:t xml:space="preserve"> will work cross functionally to develop the clinical and economic evidence strategy to prove value across the care continuum (procedure efficiency, utilization, site economics, and patient outcomes) and translate that evidence into compelling messaging for hospitals, physicians, and broader stakeholders.</w:t>
      </w:r>
    </w:p>
    <w:p w14:paraId="072F9593" w14:textId="28E909BC" w:rsidR="008221E9" w:rsidRPr="00683D06" w:rsidRDefault="00D0324F" w:rsidP="003E54E3">
      <w:r w:rsidRPr="00683D06">
        <w:t xml:space="preserve">The </w:t>
      </w:r>
      <w:r w:rsidRPr="005174D6">
        <w:t>VP, Global Strategic Marketing</w:t>
      </w:r>
      <w:r w:rsidRPr="00683D06">
        <w:t xml:space="preserve"> </w:t>
      </w:r>
      <w:r w:rsidR="00422F3C">
        <w:t xml:space="preserve">will have a global mindset, deep interventional oncology market and technology knowledge (energy-based therapies and robotics), established relationships within the interventional radiology, surgical oncology, and broader oncology community, and a proven ability to influence across complex healthcare environments. </w:t>
      </w:r>
      <w:r w:rsidR="003E54E3">
        <w:t xml:space="preserve">This position will </w:t>
      </w:r>
      <w:r w:rsidR="00422F3C">
        <w:t xml:space="preserve">work cross-functionally with clinical science, medical affairs, R&amp;D, regulatory, marketing, compliance, sales, and other internal stakeholders, including coordinating priorities across </w:t>
      </w:r>
      <w:proofErr w:type="spellStart"/>
      <w:r w:rsidR="00422F3C">
        <w:t>NeuWave</w:t>
      </w:r>
      <w:proofErr w:type="spellEnd"/>
      <w:r w:rsidR="003E54E3">
        <w:t xml:space="preserve"> Medical,</w:t>
      </w:r>
      <w:r w:rsidR="00422F3C">
        <w:t xml:space="preserve"> Inc and Quantum Surgical</w:t>
      </w:r>
      <w:r w:rsidR="003E54E3">
        <w:t>,</w:t>
      </w:r>
      <w:r w:rsidR="00422F3C">
        <w:t xml:space="preserve"> Inc.</w:t>
      </w:r>
    </w:p>
    <w:p w14:paraId="4185516B" w14:textId="38D9D016" w:rsidR="000E3264" w:rsidRDefault="000E3264" w:rsidP="000E3264"/>
    <w:p w14:paraId="3291588E" w14:textId="30712CFC" w:rsidR="000E3264" w:rsidRDefault="000E3264" w:rsidP="000E3264">
      <w:pPr>
        <w:pStyle w:val="Heading2"/>
        <w:rPr>
          <w:sz w:val="28"/>
          <w:szCs w:val="28"/>
        </w:rPr>
      </w:pPr>
      <w:r w:rsidRPr="007006C0">
        <w:rPr>
          <w:b/>
          <w:bCs/>
          <w:sz w:val="28"/>
          <w:szCs w:val="28"/>
        </w:rPr>
        <w:t xml:space="preserve">Key </w:t>
      </w:r>
      <w:r w:rsidR="007006C0" w:rsidRPr="007006C0">
        <w:rPr>
          <w:b/>
          <w:bCs/>
          <w:sz w:val="28"/>
          <w:szCs w:val="28"/>
        </w:rPr>
        <w:t>Accountabilities</w:t>
      </w:r>
      <w:r w:rsidR="007006C0">
        <w:rPr>
          <w:b/>
          <w:bCs/>
          <w:sz w:val="28"/>
          <w:szCs w:val="28"/>
        </w:rPr>
        <w:br/>
      </w:r>
    </w:p>
    <w:p w14:paraId="2D8C7F85" w14:textId="3E480C5F" w:rsidR="00D56809" w:rsidRPr="00D56809" w:rsidRDefault="00D56809" w:rsidP="00F503D1">
      <w:pPr>
        <w:pStyle w:val="ListParagraph"/>
        <w:numPr>
          <w:ilvl w:val="0"/>
          <w:numId w:val="4"/>
        </w:numPr>
        <w:contextualSpacing w:val="0"/>
      </w:pPr>
      <w:r w:rsidRPr="00D56809">
        <w:t>Own the multi</w:t>
      </w:r>
      <w:r w:rsidRPr="00D56809">
        <w:noBreakHyphen/>
        <w:t>year global portfolio and business plan (including 5</w:t>
      </w:r>
      <w:r w:rsidRPr="00D56809">
        <w:noBreakHyphen/>
        <w:t>year roadmap, R&amp;D alignment, and M&amp;A input) for Precision IO</w:t>
      </w:r>
      <w:r w:rsidR="00F503D1">
        <w:t xml:space="preserve"> Group</w:t>
      </w:r>
      <w:r w:rsidRPr="00D56809">
        <w:t xml:space="preserve">’s interventional oncology and robotic platforms across </w:t>
      </w:r>
      <w:proofErr w:type="spellStart"/>
      <w:r w:rsidRPr="00D56809">
        <w:t>NeuWave</w:t>
      </w:r>
      <w:proofErr w:type="spellEnd"/>
      <w:r w:rsidR="00BA74AE">
        <w:t xml:space="preserve"> Medical</w:t>
      </w:r>
      <w:r w:rsidRPr="00D56809">
        <w:t xml:space="preserve"> Inc and Quantum Surgical Inc to drive sustainable growth.</w:t>
      </w:r>
    </w:p>
    <w:p w14:paraId="0204CE76" w14:textId="7B0B87A2" w:rsidR="00D56809" w:rsidRPr="00D56809" w:rsidRDefault="00D56809" w:rsidP="00F503D1">
      <w:pPr>
        <w:pStyle w:val="ListParagraph"/>
        <w:numPr>
          <w:ilvl w:val="0"/>
          <w:numId w:val="4"/>
        </w:numPr>
        <w:contextualSpacing w:val="0"/>
      </w:pPr>
      <w:r w:rsidRPr="00D56809">
        <w:t>Define procedure and care</w:t>
      </w:r>
      <w:r w:rsidRPr="00D56809">
        <w:noBreakHyphen/>
        <w:t>pathway roadmaps and playbooks (from patient selection and workflow design to technology utilization), remove adoption barriers, and shape the role of Precision IO</w:t>
      </w:r>
      <w:r w:rsidR="00BA74AE">
        <w:t xml:space="preserve"> Group</w:t>
      </w:r>
      <w:r w:rsidRPr="00D56809">
        <w:t xml:space="preserve"> therapies and robotics within multidisciplinary tumor boards, interventional suites, and surgical workflows.</w:t>
      </w:r>
    </w:p>
    <w:p w14:paraId="0D7140BD" w14:textId="69C1DAE8" w:rsidR="00D56809" w:rsidRPr="00D56809" w:rsidRDefault="00D56809" w:rsidP="00F503D1">
      <w:pPr>
        <w:pStyle w:val="ListParagraph"/>
        <w:numPr>
          <w:ilvl w:val="0"/>
          <w:numId w:val="4"/>
        </w:numPr>
        <w:contextualSpacing w:val="0"/>
      </w:pPr>
      <w:r w:rsidRPr="00D56809">
        <w:t>Lead product and technology strategy across energy delivery systems, disposables, robotics, software, and data/AI; prioritize pipeline investments, translate clinical needs into requirements, and partner with R&amp;D to deliver next</w:t>
      </w:r>
      <w:r w:rsidRPr="00D56809">
        <w:noBreakHyphen/>
        <w:t xml:space="preserve">generation solutions across the </w:t>
      </w:r>
      <w:proofErr w:type="spellStart"/>
      <w:r w:rsidRPr="00D56809">
        <w:t>NeuWave</w:t>
      </w:r>
      <w:proofErr w:type="spellEnd"/>
      <w:r w:rsidR="00BA74AE">
        <w:t xml:space="preserve"> Medical</w:t>
      </w:r>
      <w:r w:rsidRPr="00D56809">
        <w:t xml:space="preserve"> Inc and Quantum Surgical Inc portfolios.</w:t>
      </w:r>
    </w:p>
    <w:p w14:paraId="4CCD4B28" w14:textId="77777777" w:rsidR="00D56809" w:rsidRPr="00D56809" w:rsidRDefault="00D56809" w:rsidP="00F503D1">
      <w:pPr>
        <w:pStyle w:val="ListParagraph"/>
        <w:numPr>
          <w:ilvl w:val="0"/>
          <w:numId w:val="4"/>
        </w:numPr>
        <w:contextualSpacing w:val="0"/>
      </w:pPr>
      <w:r w:rsidRPr="00D56809">
        <w:t>Create clear value propositions, segmentation, pricing and global/regional launch plans; drive market</w:t>
      </w:r>
      <w:r w:rsidRPr="00D56809">
        <w:noBreakHyphen/>
        <w:t>focused demand generation and adoption strategies across regions for interventional oncology treatments and robotic programs.</w:t>
      </w:r>
    </w:p>
    <w:p w14:paraId="7AC92CB9" w14:textId="77777777" w:rsidR="00D56809" w:rsidRPr="00D56809" w:rsidRDefault="00D56809" w:rsidP="00F503D1">
      <w:pPr>
        <w:pStyle w:val="ListParagraph"/>
        <w:numPr>
          <w:ilvl w:val="0"/>
          <w:numId w:val="4"/>
        </w:numPr>
        <w:contextualSpacing w:val="0"/>
      </w:pPr>
      <w:r w:rsidRPr="00D56809">
        <w:t>Own evidence generation and clinical claims strategy, ensure clinical input is integrated into product design, and translate outcomes into economic and clinical value messaging for payers and providers across interventional oncology indications and robotic-assisted programs.</w:t>
      </w:r>
    </w:p>
    <w:p w14:paraId="12C5A454" w14:textId="5479C14A" w:rsidR="00D56809" w:rsidRPr="00D56809" w:rsidRDefault="00D56809" w:rsidP="00F503D1">
      <w:pPr>
        <w:pStyle w:val="ListParagraph"/>
        <w:numPr>
          <w:ilvl w:val="0"/>
          <w:numId w:val="4"/>
        </w:numPr>
        <w:contextualSpacing w:val="0"/>
      </w:pPr>
      <w:r w:rsidRPr="00D56809">
        <w:t>Lead cross</w:t>
      </w:r>
      <w:r w:rsidRPr="00D56809">
        <w:noBreakHyphen/>
        <w:t xml:space="preserve">organizational execution with Commercial, R&amp;D, Global Education, Program Management, Regional Marketing and Business Development to operationalize strategy and product launches—driving alignment and </w:t>
      </w:r>
      <w:r w:rsidRPr="00D56809">
        <w:lastRenderedPageBreak/>
        <w:t>accountability across Precision IO</w:t>
      </w:r>
      <w:r w:rsidR="00AB2CED">
        <w:t xml:space="preserve"> Group</w:t>
      </w:r>
      <w:r w:rsidRPr="00D56809">
        <w:t xml:space="preserve">, </w:t>
      </w:r>
      <w:proofErr w:type="spellStart"/>
      <w:r w:rsidRPr="00D56809">
        <w:t>NeuWave</w:t>
      </w:r>
      <w:proofErr w:type="spellEnd"/>
      <w:r w:rsidR="00AB2CED">
        <w:t xml:space="preserve"> Medical</w:t>
      </w:r>
      <w:r w:rsidRPr="00D56809">
        <w:t xml:space="preserve"> Inc, and Quantum Surgical Inc.</w:t>
      </w:r>
    </w:p>
    <w:p w14:paraId="433DEC61" w14:textId="77777777" w:rsidR="00D56809" w:rsidRPr="00D56809" w:rsidRDefault="00D56809" w:rsidP="00F503D1">
      <w:pPr>
        <w:pStyle w:val="ListParagraph"/>
        <w:numPr>
          <w:ilvl w:val="0"/>
          <w:numId w:val="4"/>
        </w:numPr>
        <w:contextualSpacing w:val="0"/>
      </w:pPr>
      <w:r w:rsidRPr="00D56809">
        <w:t>Direct market intelligence and competitive market assessment to inform positioning, lifecycle decisions and response plans; continually scan for disruptive trends in interventional oncology, energy</w:t>
      </w:r>
      <w:r w:rsidRPr="00D56809">
        <w:noBreakHyphen/>
        <w:t>based therapies, and surgical robotics, and translate competitor actions into strategic implications.</w:t>
      </w:r>
    </w:p>
    <w:p w14:paraId="39A2121E" w14:textId="57F4AB94" w:rsidR="00D56809" w:rsidRPr="00D56809" w:rsidRDefault="00D56809" w:rsidP="00F503D1">
      <w:pPr>
        <w:pStyle w:val="ListParagraph"/>
        <w:numPr>
          <w:ilvl w:val="0"/>
          <w:numId w:val="4"/>
        </w:numPr>
        <w:contextualSpacing w:val="0"/>
      </w:pPr>
      <w:r w:rsidRPr="00D56809">
        <w:t>Cultivate relationships with interventional radiologists, surgical oncologists, hepatobiliary surgeons, and oncology leadership to shape multidisciplinary decision</w:t>
      </w:r>
      <w:r w:rsidRPr="00D56809">
        <w:noBreakHyphen/>
        <w:t>making and accelerate adoption of Precision IO</w:t>
      </w:r>
      <w:r w:rsidR="009D3827">
        <w:t xml:space="preserve"> Group</w:t>
      </w:r>
      <w:r w:rsidRPr="00D56809">
        <w:t xml:space="preserve"> therapies and robotic programs.</w:t>
      </w:r>
    </w:p>
    <w:p w14:paraId="199DCA50" w14:textId="77777777" w:rsidR="00D56809" w:rsidRPr="00D56809" w:rsidRDefault="00D56809" w:rsidP="00F503D1">
      <w:pPr>
        <w:pStyle w:val="ListParagraph"/>
        <w:numPr>
          <w:ilvl w:val="0"/>
          <w:numId w:val="4"/>
        </w:numPr>
        <w:contextualSpacing w:val="0"/>
      </w:pPr>
      <w:r w:rsidRPr="00D56809">
        <w:t>Lead long</w:t>
      </w:r>
      <w:r w:rsidRPr="00D56809">
        <w:noBreakHyphen/>
        <w:t>range financial planning for the portfolio (market sizing, revenue and margin forecasts, scenario planning, and investment cases), ensuring alignment between strategy, operating plans, and capital allocation priorities.</w:t>
      </w:r>
    </w:p>
    <w:p w14:paraId="74B453D1" w14:textId="7E218CFC" w:rsidR="00BC125E" w:rsidRPr="00683D06" w:rsidRDefault="00D56809" w:rsidP="00F503D1">
      <w:pPr>
        <w:pStyle w:val="ListParagraph"/>
        <w:numPr>
          <w:ilvl w:val="0"/>
          <w:numId w:val="4"/>
        </w:numPr>
        <w:contextualSpacing w:val="0"/>
      </w:pPr>
      <w:r w:rsidRPr="00D56809">
        <w:t>Build and continuously refine the investor story for Precision IO</w:t>
      </w:r>
      <w:r w:rsidR="009D3827">
        <w:t xml:space="preserve"> Group</w:t>
      </w:r>
      <w:r w:rsidRPr="00D56809">
        <w:t>’s interventional oncology and robotics growth thesis—articulating market landscape, differentiation, milestones, and performance tracking in partnership with executive leadership.</w:t>
      </w:r>
    </w:p>
    <w:p w14:paraId="16E93B8B" w14:textId="77777777" w:rsidR="00BC125E" w:rsidRPr="00683D06" w:rsidRDefault="00BC125E" w:rsidP="009D3827">
      <w:pPr>
        <w:spacing w:after="160" w:line="278" w:lineRule="auto"/>
        <w:ind w:left="360"/>
      </w:pPr>
    </w:p>
    <w:p w14:paraId="3F6699B8" w14:textId="7B4DC33E" w:rsidR="000E3264" w:rsidRPr="007006C0" w:rsidRDefault="00A8785C" w:rsidP="000E3264">
      <w:pPr>
        <w:pStyle w:val="Heading2"/>
        <w:rPr>
          <w:sz w:val="28"/>
          <w:szCs w:val="28"/>
        </w:rPr>
      </w:pPr>
      <w:r>
        <w:rPr>
          <w:b/>
          <w:bCs/>
          <w:sz w:val="28"/>
          <w:szCs w:val="28"/>
        </w:rPr>
        <w:t>Education, Experience &amp; Skills</w:t>
      </w:r>
    </w:p>
    <w:p w14:paraId="3451DEBD" w14:textId="77777777" w:rsidR="006118A1" w:rsidRPr="0016161A" w:rsidRDefault="006118A1" w:rsidP="006118A1">
      <w:pPr>
        <w:numPr>
          <w:ilvl w:val="0"/>
          <w:numId w:val="7"/>
        </w:numPr>
        <w:spacing w:after="160" w:line="278" w:lineRule="auto"/>
      </w:pPr>
      <w:proofErr w:type="gramStart"/>
      <w:r w:rsidRPr="0016161A">
        <w:t>Bachelor’s degree in Business Administration</w:t>
      </w:r>
      <w:proofErr w:type="gramEnd"/>
      <w:r w:rsidRPr="0016161A">
        <w:t>, Marketing, Engineering or related field required. Advanced degree (e.g., M.B.A.) is highly preferred.</w:t>
      </w:r>
    </w:p>
    <w:p w14:paraId="43DAD6D8" w14:textId="77777777" w:rsidR="006118A1" w:rsidRDefault="006118A1" w:rsidP="006118A1">
      <w:pPr>
        <w:numPr>
          <w:ilvl w:val="0"/>
          <w:numId w:val="7"/>
        </w:numPr>
        <w:spacing w:after="160" w:line="276" w:lineRule="auto"/>
        <w:rPr>
          <w:rFonts w:eastAsia="Times New Roman"/>
        </w:rPr>
      </w:pPr>
      <w:r>
        <w:rPr>
          <w:rFonts w:eastAsia="Times New Roman"/>
        </w:rPr>
        <w:t>12+ years of relevant business experience in strategic marketing, product management, and/or commercial leadership is required, ideally within interventional oncology, surgical oncology, medical devices, and/or robotics.</w:t>
      </w:r>
    </w:p>
    <w:p w14:paraId="3D7102AC" w14:textId="77777777" w:rsidR="006118A1" w:rsidRDefault="006118A1" w:rsidP="006118A1">
      <w:pPr>
        <w:numPr>
          <w:ilvl w:val="0"/>
          <w:numId w:val="7"/>
        </w:numPr>
        <w:spacing w:after="160" w:line="276" w:lineRule="auto"/>
        <w:rPr>
          <w:rFonts w:eastAsia="Times New Roman"/>
        </w:rPr>
      </w:pPr>
      <w:r>
        <w:rPr>
          <w:rFonts w:eastAsia="Times New Roman"/>
        </w:rPr>
        <w:t>Interventional oncology and/or surgical robotics market knowledge with proven ability to learn complex technology/clinical applications required (energy</w:t>
      </w:r>
      <w:r>
        <w:rPr>
          <w:rFonts w:eastAsia="Times New Roman"/>
        </w:rPr>
        <w:noBreakHyphen/>
        <w:t>based therapies, disposables, capital equipment, and enabling software).</w:t>
      </w:r>
    </w:p>
    <w:p w14:paraId="33805109" w14:textId="77777777" w:rsidR="006118A1" w:rsidRDefault="006118A1" w:rsidP="006118A1">
      <w:pPr>
        <w:numPr>
          <w:ilvl w:val="0"/>
          <w:numId w:val="7"/>
        </w:numPr>
        <w:spacing w:after="160" w:line="276" w:lineRule="auto"/>
        <w:rPr>
          <w:rFonts w:eastAsia="Times New Roman"/>
        </w:rPr>
      </w:pPr>
      <w:r>
        <w:rPr>
          <w:rFonts w:eastAsia="Times New Roman"/>
        </w:rPr>
        <w:t>Clinical Depth: Deep understanding of image</w:t>
      </w:r>
      <w:r>
        <w:rPr>
          <w:rFonts w:eastAsia="Times New Roman"/>
        </w:rPr>
        <w:noBreakHyphen/>
        <w:t>guided interventional oncology procedures and the technical requirements and workflow nuances of ablation and robotics</w:t>
      </w:r>
      <w:r>
        <w:rPr>
          <w:rFonts w:eastAsia="Times New Roman"/>
        </w:rPr>
        <w:noBreakHyphen/>
        <w:t>enabled interventions.</w:t>
      </w:r>
    </w:p>
    <w:p w14:paraId="5CB183DC" w14:textId="77777777" w:rsidR="006118A1" w:rsidRDefault="006118A1" w:rsidP="006118A1">
      <w:pPr>
        <w:numPr>
          <w:ilvl w:val="0"/>
          <w:numId w:val="7"/>
        </w:numPr>
        <w:spacing w:after="160" w:line="276" w:lineRule="auto"/>
        <w:rPr>
          <w:rFonts w:eastAsia="Times New Roman"/>
        </w:rPr>
      </w:pPr>
      <w:r>
        <w:rPr>
          <w:rFonts w:eastAsia="Times New Roman"/>
        </w:rPr>
        <w:t>Digital Fluency: Experience working with software and robotics engineering teams on workflow software, planning/navigation, connectivity, and data/AI capabilities that improve clinical utility and outcomes.</w:t>
      </w:r>
    </w:p>
    <w:p w14:paraId="211C749A" w14:textId="77777777" w:rsidR="006118A1" w:rsidRDefault="006118A1" w:rsidP="006118A1">
      <w:pPr>
        <w:numPr>
          <w:ilvl w:val="0"/>
          <w:numId w:val="7"/>
        </w:numPr>
        <w:spacing w:after="160" w:line="276" w:lineRule="auto"/>
        <w:rPr>
          <w:rFonts w:eastAsia="Times New Roman"/>
        </w:rPr>
      </w:pPr>
      <w:r>
        <w:rPr>
          <w:rFonts w:eastAsia="Times New Roman"/>
        </w:rPr>
        <w:lastRenderedPageBreak/>
        <w:t>Financial &amp; Economic Acumen: Ability to develop long</w:t>
      </w:r>
      <w:r>
        <w:rPr>
          <w:rFonts w:eastAsia="Times New Roman"/>
        </w:rPr>
        <w:noBreakHyphen/>
        <w:t>range financial plans, market forecasts, and investment cases, and articulate a differentiated growth thesis for internal governance and external stakeholder conversations (as applicable).</w:t>
      </w:r>
    </w:p>
    <w:p w14:paraId="5BB1FE14" w14:textId="77777777" w:rsidR="006118A1" w:rsidRDefault="006118A1" w:rsidP="006118A1">
      <w:pPr>
        <w:numPr>
          <w:ilvl w:val="0"/>
          <w:numId w:val="7"/>
        </w:numPr>
        <w:spacing w:after="160" w:line="276" w:lineRule="auto"/>
        <w:rPr>
          <w:rFonts w:eastAsia="Times New Roman"/>
        </w:rPr>
      </w:pPr>
      <w:r>
        <w:rPr>
          <w:rFonts w:eastAsia="Times New Roman"/>
        </w:rPr>
        <w:t>Effective leadership in a matrix organization and the talent to act as an organizational change agent and leader across multiple business units/operating companies are required.</w:t>
      </w:r>
    </w:p>
    <w:p w14:paraId="566D1FB4" w14:textId="77777777" w:rsidR="006118A1" w:rsidRDefault="006118A1" w:rsidP="006118A1">
      <w:pPr>
        <w:numPr>
          <w:ilvl w:val="0"/>
          <w:numId w:val="7"/>
        </w:numPr>
        <w:spacing w:after="160" w:line="276" w:lineRule="auto"/>
        <w:rPr>
          <w:rFonts w:eastAsia="Times New Roman"/>
        </w:rPr>
      </w:pPr>
      <w:r>
        <w:rPr>
          <w:rFonts w:eastAsia="Times New Roman"/>
        </w:rPr>
        <w:t xml:space="preserve">Proven behaviors as a strong partner and team player, especially with functions including global education, R&amp;D, commercial field leadership, regulatory affairs, clinical affairs and operations/planning/manufacturing, and the ability to align teams across </w:t>
      </w:r>
      <w:proofErr w:type="spellStart"/>
      <w:r>
        <w:rPr>
          <w:rFonts w:eastAsia="Times New Roman"/>
        </w:rPr>
        <w:t>NeuWave</w:t>
      </w:r>
      <w:proofErr w:type="spellEnd"/>
      <w:r>
        <w:rPr>
          <w:rFonts w:eastAsia="Times New Roman"/>
        </w:rPr>
        <w:t xml:space="preserve"> Inc and Quantum Surgical Inc.</w:t>
      </w:r>
    </w:p>
    <w:p w14:paraId="525C6A09" w14:textId="77777777" w:rsidR="00B66F91" w:rsidRDefault="00B66F91" w:rsidP="00B66F91">
      <w:pPr>
        <w:spacing w:after="160" w:line="276" w:lineRule="auto"/>
        <w:ind w:left="360"/>
        <w:rPr>
          <w:rFonts w:eastAsia="Times New Roman"/>
        </w:rPr>
      </w:pPr>
    </w:p>
    <w:p w14:paraId="6E633C68" w14:textId="1FC136B4" w:rsidR="009379F4" w:rsidRPr="007006C0" w:rsidRDefault="009379F4" w:rsidP="009379F4">
      <w:pPr>
        <w:pStyle w:val="Heading2"/>
        <w:rPr>
          <w:sz w:val="28"/>
          <w:szCs w:val="28"/>
        </w:rPr>
      </w:pPr>
      <w:r>
        <w:rPr>
          <w:b/>
          <w:bCs/>
          <w:sz w:val="28"/>
          <w:szCs w:val="28"/>
        </w:rPr>
        <w:t>Travel Requirements</w:t>
      </w:r>
    </w:p>
    <w:p w14:paraId="70115338" w14:textId="77777777" w:rsidR="009379F4" w:rsidRDefault="009379F4" w:rsidP="009379F4">
      <w:pPr>
        <w:rPr>
          <w:b/>
          <w:bCs/>
        </w:rPr>
      </w:pPr>
    </w:p>
    <w:p w14:paraId="58A1B5EB" w14:textId="77777777" w:rsidR="00B66F91" w:rsidRPr="0016161A" w:rsidRDefault="00B66F91" w:rsidP="00B66F91">
      <w:pPr>
        <w:numPr>
          <w:ilvl w:val="0"/>
          <w:numId w:val="7"/>
        </w:numPr>
        <w:spacing w:after="160" w:line="278" w:lineRule="auto"/>
      </w:pPr>
      <w:r w:rsidRPr="0016161A">
        <w:t>Ability to travel globally up to 30% for customer engagement and major clinical congresses.</w:t>
      </w:r>
    </w:p>
    <w:p w14:paraId="22087C27" w14:textId="77777777" w:rsidR="00F678E9" w:rsidRDefault="00F678E9" w:rsidP="000E3264"/>
    <w:p w14:paraId="63EB10AD" w14:textId="77777777" w:rsidR="009379F4" w:rsidRDefault="009379F4" w:rsidP="000E3264"/>
    <w:p w14:paraId="1F03BB81" w14:textId="6C14963C" w:rsidR="009379F4" w:rsidRPr="007006C0" w:rsidRDefault="009379F4" w:rsidP="009379F4">
      <w:pPr>
        <w:pStyle w:val="Heading2"/>
        <w:rPr>
          <w:sz w:val="28"/>
          <w:szCs w:val="28"/>
        </w:rPr>
      </w:pPr>
      <w:r>
        <w:rPr>
          <w:b/>
          <w:bCs/>
          <w:sz w:val="28"/>
          <w:szCs w:val="28"/>
        </w:rPr>
        <w:t>Equal Opportunity Employer</w:t>
      </w:r>
    </w:p>
    <w:p w14:paraId="2CE3175B" w14:textId="77777777" w:rsidR="009379F4" w:rsidRDefault="009379F4" w:rsidP="000E3264"/>
    <w:p w14:paraId="1E45BCB8" w14:textId="4F17C4B6" w:rsidR="00F678E9" w:rsidRPr="00683D06" w:rsidRDefault="00397CB1" w:rsidP="00F678E9">
      <w:pPr>
        <w:spacing w:after="160" w:line="278" w:lineRule="auto"/>
      </w:pPr>
      <w:r>
        <w:t>Precision IO Group</w:t>
      </w:r>
      <w:r w:rsidR="00F678E9">
        <w:t xml:space="preserve"> is an equal opportunity employer. We are committed to creating an inclusive environment and do not discriminate based on race, color, religion, sex, sexual orientation, gender identity, national origin, age, disability, veteran status, or any other protected status.</w:t>
      </w:r>
    </w:p>
    <w:p w14:paraId="68D8B75C" w14:textId="77777777" w:rsidR="00316737" w:rsidRDefault="00316737"/>
    <w:sectPr w:rsidR="00316737" w:rsidSect="0022339A">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5DAB1" w14:textId="77777777" w:rsidR="009675BD" w:rsidRDefault="009675BD">
      <w:pPr>
        <w:spacing w:after="0"/>
      </w:pPr>
      <w:r>
        <w:separator/>
      </w:r>
    </w:p>
  </w:endnote>
  <w:endnote w:type="continuationSeparator" w:id="0">
    <w:p w14:paraId="1275BA16" w14:textId="77777777" w:rsidR="009675BD" w:rsidRDefault="009675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E48B72A" w14:paraId="0226E1F4" w14:textId="77777777" w:rsidTr="4E48B72A">
      <w:trPr>
        <w:trHeight w:val="300"/>
      </w:trPr>
      <w:tc>
        <w:tcPr>
          <w:tcW w:w="3120" w:type="dxa"/>
        </w:tcPr>
        <w:p w14:paraId="1BE9EBCC" w14:textId="285F7DA3" w:rsidR="4E48B72A" w:rsidRDefault="4E48B72A" w:rsidP="4E48B72A">
          <w:pPr>
            <w:pStyle w:val="Header"/>
            <w:ind w:left="-115"/>
          </w:pPr>
        </w:p>
      </w:tc>
      <w:tc>
        <w:tcPr>
          <w:tcW w:w="3120" w:type="dxa"/>
        </w:tcPr>
        <w:p w14:paraId="41739552" w14:textId="122A0B65" w:rsidR="4E48B72A" w:rsidRDefault="4E48B72A" w:rsidP="4E48B72A">
          <w:pPr>
            <w:pStyle w:val="Header"/>
            <w:jc w:val="center"/>
          </w:pPr>
        </w:p>
      </w:tc>
      <w:tc>
        <w:tcPr>
          <w:tcW w:w="3120" w:type="dxa"/>
        </w:tcPr>
        <w:p w14:paraId="1A301FF2" w14:textId="2A8AC561" w:rsidR="4E48B72A" w:rsidRDefault="4E48B72A" w:rsidP="4E48B72A">
          <w:pPr>
            <w:pStyle w:val="Header"/>
            <w:ind w:right="-115"/>
            <w:jc w:val="right"/>
          </w:pPr>
        </w:p>
      </w:tc>
    </w:tr>
  </w:tbl>
  <w:p w14:paraId="269D2D9A" w14:textId="3FCAB0FB" w:rsidR="4E48B72A" w:rsidRDefault="4E48B72A" w:rsidP="4E48B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82B7C" w14:textId="77777777" w:rsidR="009675BD" w:rsidRDefault="009675BD">
      <w:pPr>
        <w:spacing w:after="0"/>
      </w:pPr>
      <w:r>
        <w:separator/>
      </w:r>
    </w:p>
  </w:footnote>
  <w:footnote w:type="continuationSeparator" w:id="0">
    <w:p w14:paraId="6F976288" w14:textId="77777777" w:rsidR="009675BD" w:rsidRDefault="009675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E48B72A" w14:paraId="1E828A2B" w14:textId="77777777" w:rsidTr="4E48B72A">
      <w:trPr>
        <w:trHeight w:val="300"/>
      </w:trPr>
      <w:tc>
        <w:tcPr>
          <w:tcW w:w="3120" w:type="dxa"/>
        </w:tcPr>
        <w:p w14:paraId="241CCF6D" w14:textId="0A4375E7" w:rsidR="4E48B72A" w:rsidRDefault="4E48B72A" w:rsidP="4E48B72A">
          <w:pPr>
            <w:pStyle w:val="Header"/>
            <w:ind w:left="-115"/>
          </w:pPr>
        </w:p>
      </w:tc>
      <w:tc>
        <w:tcPr>
          <w:tcW w:w="3120" w:type="dxa"/>
        </w:tcPr>
        <w:p w14:paraId="5C810B02" w14:textId="6831629D" w:rsidR="4E48B72A" w:rsidRDefault="4E48B72A" w:rsidP="4E48B72A">
          <w:pPr>
            <w:pStyle w:val="Header"/>
            <w:jc w:val="center"/>
          </w:pPr>
        </w:p>
      </w:tc>
      <w:tc>
        <w:tcPr>
          <w:tcW w:w="3120" w:type="dxa"/>
        </w:tcPr>
        <w:p w14:paraId="7A1D1E6E" w14:textId="5B1528D4" w:rsidR="4E48B72A" w:rsidRDefault="4E48B72A" w:rsidP="4E48B72A">
          <w:pPr>
            <w:pStyle w:val="Header"/>
            <w:ind w:right="-115"/>
            <w:jc w:val="right"/>
          </w:pPr>
        </w:p>
      </w:tc>
    </w:tr>
  </w:tbl>
  <w:p w14:paraId="2887B585" w14:textId="481477BC" w:rsidR="4E48B72A" w:rsidRDefault="4E48B72A" w:rsidP="00643CE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E6B7" w14:textId="567743DB" w:rsidR="00643CE0" w:rsidRDefault="0022339A" w:rsidP="0022339A">
    <w:pPr>
      <w:pStyle w:val="Header"/>
      <w:jc w:val="right"/>
    </w:pPr>
    <w:r w:rsidRPr="001B28BF">
      <w:rPr>
        <w:rFonts w:asciiTheme="majorHAnsi" w:eastAsiaTheme="majorEastAsia" w:hAnsiTheme="majorHAnsi" w:cstheme="majorBidi"/>
        <w:b/>
        <w:bCs/>
        <w:noProof/>
        <w:color w:val="0F4761" w:themeColor="accent1" w:themeShade="BF"/>
        <w:sz w:val="28"/>
        <w:szCs w:val="28"/>
      </w:rPr>
      <w:drawing>
        <wp:inline distT="0" distB="0" distL="0" distR="0" wp14:anchorId="38730EB0" wp14:editId="31073F85">
          <wp:extent cx="1581150" cy="510157"/>
          <wp:effectExtent l="0" t="0" r="0" b="4445"/>
          <wp:docPr id="1552717322" name="Picture 6">
            <a:extLst xmlns:a="http://schemas.openxmlformats.org/drawingml/2006/main">
              <a:ext uri="{FF2B5EF4-FFF2-40B4-BE49-F238E27FC236}">
                <a16:creationId xmlns:a16="http://schemas.microsoft.com/office/drawing/2014/main" id="{07796F3E-9D1D-4BDD-A39F-0380B6BECC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832082"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6435" cy="5279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7EC"/>
    <w:multiLevelType w:val="multilevel"/>
    <w:tmpl w:val="8D06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BC541"/>
    <w:multiLevelType w:val="hybridMultilevel"/>
    <w:tmpl w:val="66B2205C"/>
    <w:lvl w:ilvl="0" w:tplc="DAD4A15A">
      <w:start w:val="1"/>
      <w:numFmt w:val="bullet"/>
      <w:lvlText w:val=""/>
      <w:lvlJc w:val="left"/>
      <w:pPr>
        <w:ind w:left="720" w:hanging="360"/>
      </w:pPr>
      <w:rPr>
        <w:rFonts w:ascii="Symbol" w:hAnsi="Symbol" w:hint="default"/>
      </w:rPr>
    </w:lvl>
    <w:lvl w:ilvl="1" w:tplc="A9F82596">
      <w:start w:val="1"/>
      <w:numFmt w:val="bullet"/>
      <w:lvlText w:val="o"/>
      <w:lvlJc w:val="left"/>
      <w:pPr>
        <w:ind w:left="1440" w:hanging="360"/>
      </w:pPr>
      <w:rPr>
        <w:rFonts w:ascii="Courier New" w:hAnsi="Courier New" w:hint="default"/>
      </w:rPr>
    </w:lvl>
    <w:lvl w:ilvl="2" w:tplc="4E104AB0">
      <w:start w:val="1"/>
      <w:numFmt w:val="bullet"/>
      <w:lvlText w:val=""/>
      <w:lvlJc w:val="left"/>
      <w:pPr>
        <w:ind w:left="2160" w:hanging="360"/>
      </w:pPr>
      <w:rPr>
        <w:rFonts w:ascii="Wingdings" w:hAnsi="Wingdings" w:hint="default"/>
      </w:rPr>
    </w:lvl>
    <w:lvl w:ilvl="3" w:tplc="D7F6A8D8">
      <w:start w:val="1"/>
      <w:numFmt w:val="bullet"/>
      <w:lvlText w:val=""/>
      <w:lvlJc w:val="left"/>
      <w:pPr>
        <w:ind w:left="2880" w:hanging="360"/>
      </w:pPr>
      <w:rPr>
        <w:rFonts w:ascii="Symbol" w:hAnsi="Symbol" w:hint="default"/>
      </w:rPr>
    </w:lvl>
    <w:lvl w:ilvl="4" w:tplc="DCF67646">
      <w:start w:val="1"/>
      <w:numFmt w:val="bullet"/>
      <w:lvlText w:val="o"/>
      <w:lvlJc w:val="left"/>
      <w:pPr>
        <w:ind w:left="3600" w:hanging="360"/>
      </w:pPr>
      <w:rPr>
        <w:rFonts w:ascii="Courier New" w:hAnsi="Courier New" w:hint="default"/>
      </w:rPr>
    </w:lvl>
    <w:lvl w:ilvl="5" w:tplc="CDE433AC">
      <w:start w:val="1"/>
      <w:numFmt w:val="bullet"/>
      <w:lvlText w:val=""/>
      <w:lvlJc w:val="left"/>
      <w:pPr>
        <w:ind w:left="4320" w:hanging="360"/>
      </w:pPr>
      <w:rPr>
        <w:rFonts w:ascii="Wingdings" w:hAnsi="Wingdings" w:hint="default"/>
      </w:rPr>
    </w:lvl>
    <w:lvl w:ilvl="6" w:tplc="AE1A8CDC">
      <w:start w:val="1"/>
      <w:numFmt w:val="bullet"/>
      <w:lvlText w:val=""/>
      <w:lvlJc w:val="left"/>
      <w:pPr>
        <w:ind w:left="5040" w:hanging="360"/>
      </w:pPr>
      <w:rPr>
        <w:rFonts w:ascii="Symbol" w:hAnsi="Symbol" w:hint="default"/>
      </w:rPr>
    </w:lvl>
    <w:lvl w:ilvl="7" w:tplc="632AD66A">
      <w:start w:val="1"/>
      <w:numFmt w:val="bullet"/>
      <w:lvlText w:val="o"/>
      <w:lvlJc w:val="left"/>
      <w:pPr>
        <w:ind w:left="5760" w:hanging="360"/>
      </w:pPr>
      <w:rPr>
        <w:rFonts w:ascii="Courier New" w:hAnsi="Courier New" w:hint="default"/>
      </w:rPr>
    </w:lvl>
    <w:lvl w:ilvl="8" w:tplc="4146A370">
      <w:start w:val="1"/>
      <w:numFmt w:val="bullet"/>
      <w:lvlText w:val=""/>
      <w:lvlJc w:val="left"/>
      <w:pPr>
        <w:ind w:left="6480" w:hanging="360"/>
      </w:pPr>
      <w:rPr>
        <w:rFonts w:ascii="Wingdings" w:hAnsi="Wingdings" w:hint="default"/>
      </w:rPr>
    </w:lvl>
  </w:abstractNum>
  <w:abstractNum w:abstractNumId="2" w15:restartNumberingAfterBreak="0">
    <w:nsid w:val="24981BFC"/>
    <w:multiLevelType w:val="multilevel"/>
    <w:tmpl w:val="84FC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130FD"/>
    <w:multiLevelType w:val="hybridMultilevel"/>
    <w:tmpl w:val="2F58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384FB0"/>
    <w:multiLevelType w:val="hybridMultilevel"/>
    <w:tmpl w:val="8348DA06"/>
    <w:lvl w:ilvl="0" w:tplc="A50C5B02">
      <w:start w:val="1"/>
      <w:numFmt w:val="bullet"/>
      <w:lvlText w:val=""/>
      <w:lvlJc w:val="left"/>
      <w:pPr>
        <w:ind w:left="720" w:hanging="360"/>
      </w:pPr>
      <w:rPr>
        <w:rFonts w:ascii="Symbol" w:hAnsi="Symbol" w:hint="default"/>
      </w:rPr>
    </w:lvl>
    <w:lvl w:ilvl="1" w:tplc="D5501AA0">
      <w:start w:val="1"/>
      <w:numFmt w:val="bullet"/>
      <w:lvlText w:val="o"/>
      <w:lvlJc w:val="left"/>
      <w:pPr>
        <w:ind w:left="1440" w:hanging="360"/>
      </w:pPr>
      <w:rPr>
        <w:rFonts w:ascii="Courier New" w:hAnsi="Courier New" w:hint="default"/>
      </w:rPr>
    </w:lvl>
    <w:lvl w:ilvl="2" w:tplc="F3F6C74E">
      <w:start w:val="1"/>
      <w:numFmt w:val="bullet"/>
      <w:lvlText w:val=""/>
      <w:lvlJc w:val="left"/>
      <w:pPr>
        <w:ind w:left="2160" w:hanging="360"/>
      </w:pPr>
      <w:rPr>
        <w:rFonts w:ascii="Wingdings" w:hAnsi="Wingdings" w:hint="default"/>
      </w:rPr>
    </w:lvl>
    <w:lvl w:ilvl="3" w:tplc="8BB07454">
      <w:start w:val="1"/>
      <w:numFmt w:val="bullet"/>
      <w:lvlText w:val=""/>
      <w:lvlJc w:val="left"/>
      <w:pPr>
        <w:ind w:left="2880" w:hanging="360"/>
      </w:pPr>
      <w:rPr>
        <w:rFonts w:ascii="Symbol" w:hAnsi="Symbol" w:hint="default"/>
      </w:rPr>
    </w:lvl>
    <w:lvl w:ilvl="4" w:tplc="2BCA62BC">
      <w:start w:val="1"/>
      <w:numFmt w:val="bullet"/>
      <w:lvlText w:val="o"/>
      <w:lvlJc w:val="left"/>
      <w:pPr>
        <w:ind w:left="3600" w:hanging="360"/>
      </w:pPr>
      <w:rPr>
        <w:rFonts w:ascii="Courier New" w:hAnsi="Courier New" w:hint="default"/>
      </w:rPr>
    </w:lvl>
    <w:lvl w:ilvl="5" w:tplc="4CDE70BA">
      <w:start w:val="1"/>
      <w:numFmt w:val="bullet"/>
      <w:lvlText w:val=""/>
      <w:lvlJc w:val="left"/>
      <w:pPr>
        <w:ind w:left="4320" w:hanging="360"/>
      </w:pPr>
      <w:rPr>
        <w:rFonts w:ascii="Wingdings" w:hAnsi="Wingdings" w:hint="default"/>
      </w:rPr>
    </w:lvl>
    <w:lvl w:ilvl="6" w:tplc="2C3C878C">
      <w:start w:val="1"/>
      <w:numFmt w:val="bullet"/>
      <w:lvlText w:val=""/>
      <w:lvlJc w:val="left"/>
      <w:pPr>
        <w:ind w:left="5040" w:hanging="360"/>
      </w:pPr>
      <w:rPr>
        <w:rFonts w:ascii="Symbol" w:hAnsi="Symbol" w:hint="default"/>
      </w:rPr>
    </w:lvl>
    <w:lvl w:ilvl="7" w:tplc="8A90281C">
      <w:start w:val="1"/>
      <w:numFmt w:val="bullet"/>
      <w:lvlText w:val="o"/>
      <w:lvlJc w:val="left"/>
      <w:pPr>
        <w:ind w:left="5760" w:hanging="360"/>
      </w:pPr>
      <w:rPr>
        <w:rFonts w:ascii="Courier New" w:hAnsi="Courier New" w:hint="default"/>
      </w:rPr>
    </w:lvl>
    <w:lvl w:ilvl="8" w:tplc="3F5E85CE">
      <w:start w:val="1"/>
      <w:numFmt w:val="bullet"/>
      <w:lvlText w:val=""/>
      <w:lvlJc w:val="left"/>
      <w:pPr>
        <w:ind w:left="6480" w:hanging="360"/>
      </w:pPr>
      <w:rPr>
        <w:rFonts w:ascii="Wingdings" w:hAnsi="Wingdings" w:hint="default"/>
      </w:rPr>
    </w:lvl>
  </w:abstractNum>
  <w:abstractNum w:abstractNumId="5" w15:restartNumberingAfterBreak="0">
    <w:nsid w:val="59130168"/>
    <w:multiLevelType w:val="multilevel"/>
    <w:tmpl w:val="2C32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6A3C73"/>
    <w:multiLevelType w:val="hybridMultilevel"/>
    <w:tmpl w:val="02B08368"/>
    <w:lvl w:ilvl="0" w:tplc="9CCCDEE6">
      <w:start w:val="1"/>
      <w:numFmt w:val="bullet"/>
      <w:lvlText w:val=""/>
      <w:lvlJc w:val="left"/>
      <w:pPr>
        <w:ind w:left="720" w:hanging="360"/>
      </w:pPr>
      <w:rPr>
        <w:rFonts w:ascii="Symbol" w:hAnsi="Symbol" w:hint="default"/>
      </w:rPr>
    </w:lvl>
    <w:lvl w:ilvl="1" w:tplc="CCD0BC96">
      <w:start w:val="1"/>
      <w:numFmt w:val="bullet"/>
      <w:lvlText w:val="o"/>
      <w:lvlJc w:val="left"/>
      <w:pPr>
        <w:ind w:left="1440" w:hanging="360"/>
      </w:pPr>
      <w:rPr>
        <w:rFonts w:ascii="Courier New" w:hAnsi="Courier New" w:hint="default"/>
      </w:rPr>
    </w:lvl>
    <w:lvl w:ilvl="2" w:tplc="7FF2FC44">
      <w:start w:val="1"/>
      <w:numFmt w:val="bullet"/>
      <w:lvlText w:val=""/>
      <w:lvlJc w:val="left"/>
      <w:pPr>
        <w:ind w:left="2160" w:hanging="360"/>
      </w:pPr>
      <w:rPr>
        <w:rFonts w:ascii="Wingdings" w:hAnsi="Wingdings" w:hint="default"/>
      </w:rPr>
    </w:lvl>
    <w:lvl w:ilvl="3" w:tplc="7422B516">
      <w:start w:val="1"/>
      <w:numFmt w:val="bullet"/>
      <w:lvlText w:val=""/>
      <w:lvlJc w:val="left"/>
      <w:pPr>
        <w:ind w:left="2880" w:hanging="360"/>
      </w:pPr>
      <w:rPr>
        <w:rFonts w:ascii="Symbol" w:hAnsi="Symbol" w:hint="default"/>
      </w:rPr>
    </w:lvl>
    <w:lvl w:ilvl="4" w:tplc="987AEA6E">
      <w:start w:val="1"/>
      <w:numFmt w:val="bullet"/>
      <w:lvlText w:val="o"/>
      <w:lvlJc w:val="left"/>
      <w:pPr>
        <w:ind w:left="3600" w:hanging="360"/>
      </w:pPr>
      <w:rPr>
        <w:rFonts w:ascii="Courier New" w:hAnsi="Courier New" w:hint="default"/>
      </w:rPr>
    </w:lvl>
    <w:lvl w:ilvl="5" w:tplc="33CC7886">
      <w:start w:val="1"/>
      <w:numFmt w:val="bullet"/>
      <w:lvlText w:val=""/>
      <w:lvlJc w:val="left"/>
      <w:pPr>
        <w:ind w:left="4320" w:hanging="360"/>
      </w:pPr>
      <w:rPr>
        <w:rFonts w:ascii="Wingdings" w:hAnsi="Wingdings" w:hint="default"/>
      </w:rPr>
    </w:lvl>
    <w:lvl w:ilvl="6" w:tplc="3230A5BC">
      <w:start w:val="1"/>
      <w:numFmt w:val="bullet"/>
      <w:lvlText w:val=""/>
      <w:lvlJc w:val="left"/>
      <w:pPr>
        <w:ind w:left="5040" w:hanging="360"/>
      </w:pPr>
      <w:rPr>
        <w:rFonts w:ascii="Symbol" w:hAnsi="Symbol" w:hint="default"/>
      </w:rPr>
    </w:lvl>
    <w:lvl w:ilvl="7" w:tplc="B49AF916">
      <w:start w:val="1"/>
      <w:numFmt w:val="bullet"/>
      <w:lvlText w:val="o"/>
      <w:lvlJc w:val="left"/>
      <w:pPr>
        <w:ind w:left="5760" w:hanging="360"/>
      </w:pPr>
      <w:rPr>
        <w:rFonts w:ascii="Courier New" w:hAnsi="Courier New" w:hint="default"/>
      </w:rPr>
    </w:lvl>
    <w:lvl w:ilvl="8" w:tplc="8DEACF82">
      <w:start w:val="1"/>
      <w:numFmt w:val="bullet"/>
      <w:lvlText w:val=""/>
      <w:lvlJc w:val="left"/>
      <w:pPr>
        <w:ind w:left="6480" w:hanging="360"/>
      </w:pPr>
      <w:rPr>
        <w:rFonts w:ascii="Wingdings" w:hAnsi="Wingdings" w:hint="default"/>
      </w:rPr>
    </w:lvl>
  </w:abstractNum>
  <w:abstractNum w:abstractNumId="7" w15:restartNumberingAfterBreak="0">
    <w:nsid w:val="611934BD"/>
    <w:multiLevelType w:val="multilevel"/>
    <w:tmpl w:val="0A76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8033BB"/>
    <w:multiLevelType w:val="multilevel"/>
    <w:tmpl w:val="938C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9F643A"/>
    <w:multiLevelType w:val="hybridMultilevel"/>
    <w:tmpl w:val="9390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D9E349"/>
    <w:multiLevelType w:val="hybridMultilevel"/>
    <w:tmpl w:val="58BA3ECA"/>
    <w:lvl w:ilvl="0" w:tplc="40D6BFDA">
      <w:start w:val="1"/>
      <w:numFmt w:val="bullet"/>
      <w:lvlText w:val=""/>
      <w:lvlJc w:val="left"/>
      <w:pPr>
        <w:ind w:left="720" w:hanging="360"/>
      </w:pPr>
      <w:rPr>
        <w:rFonts w:ascii="Symbol" w:hAnsi="Symbol" w:hint="default"/>
      </w:rPr>
    </w:lvl>
    <w:lvl w:ilvl="1" w:tplc="A4B67C44">
      <w:start w:val="1"/>
      <w:numFmt w:val="bullet"/>
      <w:lvlText w:val="o"/>
      <w:lvlJc w:val="left"/>
      <w:pPr>
        <w:ind w:left="1440" w:hanging="360"/>
      </w:pPr>
      <w:rPr>
        <w:rFonts w:ascii="Courier New" w:hAnsi="Courier New" w:hint="default"/>
      </w:rPr>
    </w:lvl>
    <w:lvl w:ilvl="2" w:tplc="E00CB056">
      <w:start w:val="1"/>
      <w:numFmt w:val="bullet"/>
      <w:lvlText w:val=""/>
      <w:lvlJc w:val="left"/>
      <w:pPr>
        <w:ind w:left="2160" w:hanging="360"/>
      </w:pPr>
      <w:rPr>
        <w:rFonts w:ascii="Wingdings" w:hAnsi="Wingdings" w:hint="default"/>
      </w:rPr>
    </w:lvl>
    <w:lvl w:ilvl="3" w:tplc="444C82B6">
      <w:start w:val="1"/>
      <w:numFmt w:val="bullet"/>
      <w:lvlText w:val=""/>
      <w:lvlJc w:val="left"/>
      <w:pPr>
        <w:ind w:left="2880" w:hanging="360"/>
      </w:pPr>
      <w:rPr>
        <w:rFonts w:ascii="Symbol" w:hAnsi="Symbol" w:hint="default"/>
      </w:rPr>
    </w:lvl>
    <w:lvl w:ilvl="4" w:tplc="0788362E">
      <w:start w:val="1"/>
      <w:numFmt w:val="bullet"/>
      <w:lvlText w:val="o"/>
      <w:lvlJc w:val="left"/>
      <w:pPr>
        <w:ind w:left="3600" w:hanging="360"/>
      </w:pPr>
      <w:rPr>
        <w:rFonts w:ascii="Courier New" w:hAnsi="Courier New" w:hint="default"/>
      </w:rPr>
    </w:lvl>
    <w:lvl w:ilvl="5" w:tplc="F3302AB2">
      <w:start w:val="1"/>
      <w:numFmt w:val="bullet"/>
      <w:lvlText w:val=""/>
      <w:lvlJc w:val="left"/>
      <w:pPr>
        <w:ind w:left="4320" w:hanging="360"/>
      </w:pPr>
      <w:rPr>
        <w:rFonts w:ascii="Wingdings" w:hAnsi="Wingdings" w:hint="default"/>
      </w:rPr>
    </w:lvl>
    <w:lvl w:ilvl="6" w:tplc="59268CE0">
      <w:start w:val="1"/>
      <w:numFmt w:val="bullet"/>
      <w:lvlText w:val=""/>
      <w:lvlJc w:val="left"/>
      <w:pPr>
        <w:ind w:left="5040" w:hanging="360"/>
      </w:pPr>
      <w:rPr>
        <w:rFonts w:ascii="Symbol" w:hAnsi="Symbol" w:hint="default"/>
      </w:rPr>
    </w:lvl>
    <w:lvl w:ilvl="7" w:tplc="F15CE866">
      <w:start w:val="1"/>
      <w:numFmt w:val="bullet"/>
      <w:lvlText w:val="o"/>
      <w:lvlJc w:val="left"/>
      <w:pPr>
        <w:ind w:left="5760" w:hanging="360"/>
      </w:pPr>
      <w:rPr>
        <w:rFonts w:ascii="Courier New" w:hAnsi="Courier New" w:hint="default"/>
      </w:rPr>
    </w:lvl>
    <w:lvl w:ilvl="8" w:tplc="54FA84BC">
      <w:start w:val="1"/>
      <w:numFmt w:val="bullet"/>
      <w:lvlText w:val=""/>
      <w:lvlJc w:val="left"/>
      <w:pPr>
        <w:ind w:left="6480" w:hanging="360"/>
      </w:pPr>
      <w:rPr>
        <w:rFonts w:ascii="Wingdings" w:hAnsi="Wingdings" w:hint="default"/>
      </w:rPr>
    </w:lvl>
  </w:abstractNum>
  <w:num w:numId="1" w16cid:durableId="1146817038">
    <w:abstractNumId w:val="4"/>
  </w:num>
  <w:num w:numId="2" w16cid:durableId="1606306014">
    <w:abstractNumId w:val="1"/>
  </w:num>
  <w:num w:numId="3" w16cid:durableId="1771729862">
    <w:abstractNumId w:val="7"/>
  </w:num>
  <w:num w:numId="4" w16cid:durableId="1810397059">
    <w:abstractNumId w:val="3"/>
  </w:num>
  <w:num w:numId="5" w16cid:durableId="2061709721">
    <w:abstractNumId w:val="10"/>
  </w:num>
  <w:num w:numId="6" w16cid:durableId="319697057">
    <w:abstractNumId w:val="6"/>
  </w:num>
  <w:num w:numId="7" w16cid:durableId="828400467">
    <w:abstractNumId w:val="9"/>
  </w:num>
  <w:num w:numId="8" w16cid:durableId="989866195">
    <w:abstractNumId w:val="2"/>
  </w:num>
  <w:num w:numId="9" w16cid:durableId="1610967729">
    <w:abstractNumId w:val="5"/>
  </w:num>
  <w:num w:numId="10" w16cid:durableId="1023747286">
    <w:abstractNumId w:val="0"/>
  </w:num>
  <w:num w:numId="11" w16cid:durableId="6758897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64"/>
    <w:rsid w:val="00002901"/>
    <w:rsid w:val="00011BA1"/>
    <w:rsid w:val="00026A59"/>
    <w:rsid w:val="000371F8"/>
    <w:rsid w:val="000E3264"/>
    <w:rsid w:val="0011273B"/>
    <w:rsid w:val="00192DEC"/>
    <w:rsid w:val="001974A1"/>
    <w:rsid w:val="001B28BF"/>
    <w:rsid w:val="001E4E51"/>
    <w:rsid w:val="001F1CCF"/>
    <w:rsid w:val="001F6121"/>
    <w:rsid w:val="0022339A"/>
    <w:rsid w:val="002537FE"/>
    <w:rsid w:val="00276439"/>
    <w:rsid w:val="002A6DCD"/>
    <w:rsid w:val="002C6410"/>
    <w:rsid w:val="00316737"/>
    <w:rsid w:val="00360EE8"/>
    <w:rsid w:val="00397CB1"/>
    <w:rsid w:val="003A09C3"/>
    <w:rsid w:val="003E54E3"/>
    <w:rsid w:val="00422F3C"/>
    <w:rsid w:val="004A1C40"/>
    <w:rsid w:val="005126A9"/>
    <w:rsid w:val="005174D6"/>
    <w:rsid w:val="00595DA1"/>
    <w:rsid w:val="005B5353"/>
    <w:rsid w:val="006118A1"/>
    <w:rsid w:val="00643CE0"/>
    <w:rsid w:val="00665E9A"/>
    <w:rsid w:val="0067732F"/>
    <w:rsid w:val="006A071F"/>
    <w:rsid w:val="006F1887"/>
    <w:rsid w:val="006F1ED3"/>
    <w:rsid w:val="007006C0"/>
    <w:rsid w:val="008221E9"/>
    <w:rsid w:val="00853403"/>
    <w:rsid w:val="008621C9"/>
    <w:rsid w:val="0087113C"/>
    <w:rsid w:val="00930813"/>
    <w:rsid w:val="009379F4"/>
    <w:rsid w:val="00960659"/>
    <w:rsid w:val="009675BD"/>
    <w:rsid w:val="00990992"/>
    <w:rsid w:val="009A03A6"/>
    <w:rsid w:val="009D3827"/>
    <w:rsid w:val="00A8785C"/>
    <w:rsid w:val="00AB2CED"/>
    <w:rsid w:val="00B60AF1"/>
    <w:rsid w:val="00B66F91"/>
    <w:rsid w:val="00BA74AE"/>
    <w:rsid w:val="00BC125E"/>
    <w:rsid w:val="00C1256F"/>
    <w:rsid w:val="00C46293"/>
    <w:rsid w:val="00CF5614"/>
    <w:rsid w:val="00D0324F"/>
    <w:rsid w:val="00D107A4"/>
    <w:rsid w:val="00D56809"/>
    <w:rsid w:val="00D92CB3"/>
    <w:rsid w:val="00DD3234"/>
    <w:rsid w:val="00DF64FB"/>
    <w:rsid w:val="00EA7D81"/>
    <w:rsid w:val="00F00569"/>
    <w:rsid w:val="00F179F9"/>
    <w:rsid w:val="00F503D1"/>
    <w:rsid w:val="00F678E9"/>
    <w:rsid w:val="00F95AD8"/>
    <w:rsid w:val="2D5256FC"/>
    <w:rsid w:val="38B59B08"/>
    <w:rsid w:val="3C713C53"/>
    <w:rsid w:val="4E48B72A"/>
    <w:rsid w:val="558D8998"/>
    <w:rsid w:val="70BEC492"/>
    <w:rsid w:val="78EA2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50B5F"/>
  <w15:chartTrackingRefBased/>
  <w15:docId w15:val="{7EF7366F-1E33-42D9-B4D7-77D1F541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264"/>
    <w:pPr>
      <w:spacing w:after="120" w:line="240" w:lineRule="auto"/>
    </w:pPr>
    <w:rPr>
      <w:kern w:val="0"/>
      <w14:ligatures w14:val="none"/>
    </w:rPr>
  </w:style>
  <w:style w:type="paragraph" w:styleId="Heading1">
    <w:name w:val="heading 1"/>
    <w:basedOn w:val="Normal"/>
    <w:next w:val="Normal"/>
    <w:link w:val="Heading1Char"/>
    <w:uiPriority w:val="9"/>
    <w:qFormat/>
    <w:rsid w:val="000E3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0"/>
    <w:unhideWhenUsed/>
    <w:qFormat/>
    <w:rsid w:val="000E3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2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2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2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2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0"/>
    <w:rsid w:val="000E32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2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2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2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264"/>
    <w:rPr>
      <w:rFonts w:eastAsiaTheme="majorEastAsia" w:cstheme="majorBidi"/>
      <w:color w:val="272727" w:themeColor="text1" w:themeTint="D8"/>
    </w:rPr>
  </w:style>
  <w:style w:type="paragraph" w:styleId="Title">
    <w:name w:val="Title"/>
    <w:basedOn w:val="Normal"/>
    <w:next w:val="Normal"/>
    <w:link w:val="TitleChar"/>
    <w:uiPriority w:val="10"/>
    <w:qFormat/>
    <w:rsid w:val="000E32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264"/>
    <w:pPr>
      <w:spacing w:before="160"/>
      <w:jc w:val="center"/>
    </w:pPr>
    <w:rPr>
      <w:i/>
      <w:iCs/>
      <w:color w:val="404040" w:themeColor="text1" w:themeTint="BF"/>
    </w:rPr>
  </w:style>
  <w:style w:type="character" w:customStyle="1" w:styleId="QuoteChar">
    <w:name w:val="Quote Char"/>
    <w:basedOn w:val="DefaultParagraphFont"/>
    <w:link w:val="Quote"/>
    <w:uiPriority w:val="29"/>
    <w:rsid w:val="000E3264"/>
    <w:rPr>
      <w:i/>
      <w:iCs/>
      <w:color w:val="404040" w:themeColor="text1" w:themeTint="BF"/>
    </w:rPr>
  </w:style>
  <w:style w:type="paragraph" w:styleId="ListParagraph">
    <w:name w:val="List Paragraph"/>
    <w:basedOn w:val="Normal"/>
    <w:uiPriority w:val="34"/>
    <w:qFormat/>
    <w:rsid w:val="000E3264"/>
    <w:pPr>
      <w:ind w:left="720"/>
      <w:contextualSpacing/>
    </w:pPr>
  </w:style>
  <w:style w:type="character" w:styleId="IntenseEmphasis">
    <w:name w:val="Intense Emphasis"/>
    <w:basedOn w:val="DefaultParagraphFont"/>
    <w:uiPriority w:val="21"/>
    <w:qFormat/>
    <w:rsid w:val="000E3264"/>
    <w:rPr>
      <w:i/>
      <w:iCs/>
      <w:color w:val="0F4761" w:themeColor="accent1" w:themeShade="BF"/>
    </w:rPr>
  </w:style>
  <w:style w:type="paragraph" w:styleId="IntenseQuote">
    <w:name w:val="Intense Quote"/>
    <w:basedOn w:val="Normal"/>
    <w:next w:val="Normal"/>
    <w:link w:val="IntenseQuoteChar"/>
    <w:uiPriority w:val="30"/>
    <w:qFormat/>
    <w:rsid w:val="000E3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264"/>
    <w:rPr>
      <w:i/>
      <w:iCs/>
      <w:color w:val="0F4761" w:themeColor="accent1" w:themeShade="BF"/>
    </w:rPr>
  </w:style>
  <w:style w:type="character" w:styleId="IntenseReference">
    <w:name w:val="Intense Reference"/>
    <w:basedOn w:val="DefaultParagraphFont"/>
    <w:uiPriority w:val="32"/>
    <w:qFormat/>
    <w:rsid w:val="000E3264"/>
    <w:rPr>
      <w:b/>
      <w:bCs/>
      <w:smallCaps/>
      <w:color w:val="0F4761" w:themeColor="accent1" w:themeShade="BF"/>
      <w:spacing w:val="5"/>
    </w:rPr>
  </w:style>
  <w:style w:type="paragraph" w:styleId="Header">
    <w:name w:val="header"/>
    <w:basedOn w:val="Normal"/>
    <w:uiPriority w:val="99"/>
    <w:unhideWhenUsed/>
    <w:rsid w:val="4E48B72A"/>
    <w:pPr>
      <w:tabs>
        <w:tab w:val="center" w:pos="4680"/>
        <w:tab w:val="right" w:pos="9360"/>
      </w:tabs>
      <w:spacing w:after="0"/>
    </w:pPr>
  </w:style>
  <w:style w:type="paragraph" w:styleId="Footer">
    <w:name w:val="footer"/>
    <w:basedOn w:val="Normal"/>
    <w:uiPriority w:val="99"/>
    <w:unhideWhenUsed/>
    <w:rsid w:val="4E48B72A"/>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B28B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5BDCF3617BD4A834E59153F5EA0DC" ma:contentTypeVersion="10" ma:contentTypeDescription="Create a new document." ma:contentTypeScope="" ma:versionID="626395eebf0feea51413fc0ca004749b">
  <xsd:schema xmlns:xsd="http://www.w3.org/2001/XMLSchema" xmlns:xs="http://www.w3.org/2001/XMLSchema" xmlns:p="http://schemas.microsoft.com/office/2006/metadata/properties" xmlns:ns2="357c9eee-f8e0-48fd-9df8-f899ee15649c" xmlns:ns3="e532ef76-af5e-4be8-ae79-0856acbd74c4" targetNamespace="http://schemas.microsoft.com/office/2006/metadata/properties" ma:root="true" ma:fieldsID="81fc1845fb71307eb00488d383670aa7" ns2:_="" ns3:_="">
    <xsd:import namespace="357c9eee-f8e0-48fd-9df8-f899ee15649c"/>
    <xsd:import namespace="e532ef76-af5e-4be8-ae79-0856acbd74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c9eee-f8e0-48fd-9df8-f899ee15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53d915-ad50-467d-b1c1-e6788107366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32ef76-af5e-4be8-ae79-0856acbd74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db4689-a060-416f-96ee-bb9a6c97601b}" ma:internalName="TaxCatchAll" ma:showField="CatchAllData" ma:web="e532ef76-af5e-4be8-ae79-0856acbd74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7c9eee-f8e0-48fd-9df8-f899ee15649c">
      <Terms xmlns="http://schemas.microsoft.com/office/infopath/2007/PartnerControls"/>
    </lcf76f155ced4ddcb4097134ff3c332f>
    <TaxCatchAll xmlns="e532ef76-af5e-4be8-ae79-0856acbd74c4" xsi:nil="true"/>
  </documentManagement>
</p:properties>
</file>

<file path=customXml/itemProps1.xml><?xml version="1.0" encoding="utf-8"?>
<ds:datastoreItem xmlns:ds="http://schemas.openxmlformats.org/officeDocument/2006/customXml" ds:itemID="{E603DD6D-FE84-42FD-9006-78E9D79A5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c9eee-f8e0-48fd-9df8-f899ee15649c"/>
    <ds:schemaRef ds:uri="e532ef76-af5e-4be8-ae79-0856acbd7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EC7C9-F2C1-48BE-8F73-14914DCF52D4}">
  <ds:schemaRefs>
    <ds:schemaRef ds:uri="http://schemas.microsoft.com/sharepoint/v3/contenttype/forms"/>
  </ds:schemaRefs>
</ds:datastoreItem>
</file>

<file path=customXml/itemProps3.xml><?xml version="1.0" encoding="utf-8"?>
<ds:datastoreItem xmlns:ds="http://schemas.openxmlformats.org/officeDocument/2006/customXml" ds:itemID="{AFDF0B25-89E7-4029-8038-04E3AC221D77}">
  <ds:schemaRefs>
    <ds:schemaRef ds:uri="http://schemas.microsoft.com/office/2006/metadata/properties"/>
    <ds:schemaRef ds:uri="http://schemas.microsoft.com/office/infopath/2007/PartnerControls"/>
    <ds:schemaRef ds:uri="357c9eee-f8e0-48fd-9df8-f899ee15649c"/>
    <ds:schemaRef ds:uri="e532ef76-af5e-4be8-ae79-0856acbd74c4"/>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1229</Words>
  <Characters>7011</Characters>
  <Application>Microsoft Office Word</Application>
  <DocSecurity>0</DocSecurity>
  <Lines>58</Lines>
  <Paragraphs>16</Paragraphs>
  <ScaleCrop>false</ScaleCrop>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Lynae PETERSON</dc:creator>
  <cp:keywords/>
  <dc:description/>
  <cp:lastModifiedBy>Ryan Elliott</cp:lastModifiedBy>
  <cp:revision>29</cp:revision>
  <dcterms:created xsi:type="dcterms:W3CDTF">2026-04-06T18:51:00Z</dcterms:created>
  <dcterms:modified xsi:type="dcterms:W3CDTF">2026-04-07T16:16:00Z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0x0101007E85BDCF3617BD4A834E59153F5EA0DC</vt:lpwstr>
  </property>
  <property fmtid="{D5CDD505-2E9C-101B-9397-08002B2CF9AE}" pid="3" name="MediaServiceImageTags">
    <vt:lpwstr/>
  </property>
</Properties>
</file>