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1A2D" w14:textId="7E028A76" w:rsidR="00F84336" w:rsidRPr="00BE6E60" w:rsidRDefault="005A2E7D" w:rsidP="008B5FA3">
      <w:pPr>
        <w:pStyle w:val="Hovedtittel"/>
        <w:jc w:val="center"/>
        <w:rPr>
          <w:sz w:val="22"/>
          <w:szCs w:val="22"/>
        </w:rPr>
      </w:pPr>
      <w:r w:rsidRPr="00BE6E60">
        <w:rPr>
          <w:sz w:val="22"/>
          <w:szCs w:val="22"/>
        </w:rPr>
        <w:t xml:space="preserve"> </w:t>
      </w:r>
      <w:r w:rsidR="00F6647A" w:rsidRPr="00BE6E60">
        <w:rPr>
          <w:sz w:val="22"/>
          <w:szCs w:val="22"/>
        </w:rPr>
        <w:t>habilitetsbestemmelser</w:t>
      </w:r>
      <w:r w:rsidR="00896F24" w:rsidRPr="00BE6E60">
        <w:rPr>
          <w:sz w:val="22"/>
          <w:szCs w:val="22"/>
        </w:rPr>
        <w:t xml:space="preserve"> for </w:t>
      </w:r>
      <w:r w:rsidR="00636298" w:rsidRPr="00BE6E60">
        <w:rPr>
          <w:sz w:val="22"/>
          <w:szCs w:val="22"/>
        </w:rPr>
        <w:t>KULTURDIREKTORATET</w:t>
      </w:r>
      <w:r w:rsidR="00BE7D56" w:rsidRPr="00BE6E60">
        <w:rPr>
          <w:sz w:val="22"/>
          <w:szCs w:val="22"/>
        </w:rPr>
        <w:t>, Kulturrådet, statens kunstnerstipend og fond for lyd og bilde</w:t>
      </w:r>
    </w:p>
    <w:p w14:paraId="366FAFF9" w14:textId="77777777" w:rsidR="00170356" w:rsidRDefault="00170356" w:rsidP="00836E34">
      <w:pPr>
        <w:pStyle w:val="Overskrift1"/>
        <w:numPr>
          <w:ilvl w:val="0"/>
          <w:numId w:val="0"/>
        </w:numPr>
        <w:ind w:left="992" w:hanging="992"/>
        <w:rPr>
          <w:lang w:eastAsia="en-US"/>
        </w:rPr>
      </w:pPr>
      <w:bookmarkStart w:id="0" w:name="_Toc92804901"/>
      <w:r w:rsidRPr="00170356">
        <w:rPr>
          <w:lang w:eastAsia="en-US"/>
        </w:rPr>
        <w:t>Formål</w:t>
      </w:r>
      <w:bookmarkEnd w:id="0"/>
    </w:p>
    <w:p w14:paraId="13B8060A" w14:textId="77777777" w:rsidR="00836E34" w:rsidRPr="00836E34" w:rsidRDefault="00836E34" w:rsidP="00836E34">
      <w:pPr>
        <w:pStyle w:val="Brdtekst"/>
        <w:rPr>
          <w:lang w:eastAsia="en-US"/>
        </w:rPr>
      </w:pPr>
    </w:p>
    <w:p w14:paraId="75BEB7C0"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Dette dokumentet inneholder regler om habilitet og veiledning for habilitetsvurderingen som skal foretas. </w:t>
      </w:r>
    </w:p>
    <w:p w14:paraId="309C27DA"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Veilederen er delt i to. Del 1 beskriver bindende regler for habilitetsbehandling innen </w:t>
      </w:r>
      <w:proofErr w:type="spellStart"/>
      <w:r w:rsidRPr="00170356">
        <w:rPr>
          <w:rFonts w:eastAsia="Calibri"/>
          <w:sz w:val="22"/>
          <w:szCs w:val="22"/>
          <w:lang w:eastAsia="en-US"/>
          <w14:ligatures w14:val="standardContextual"/>
        </w:rPr>
        <w:t>Kulturdirektoratets</w:t>
      </w:r>
      <w:proofErr w:type="spellEnd"/>
      <w:r w:rsidRPr="00170356">
        <w:rPr>
          <w:rFonts w:eastAsia="Calibri"/>
          <w:sz w:val="22"/>
          <w:szCs w:val="22"/>
          <w:lang w:eastAsia="en-US"/>
          <w14:ligatures w14:val="standardContextual"/>
        </w:rPr>
        <w:t xml:space="preserve"> virksomhetsområder. Reglene er i det vesentligste en gjengivelse av forvaltningslovens regler, med visse praktiske tilpasninger for </w:t>
      </w:r>
      <w:proofErr w:type="spellStart"/>
      <w:r w:rsidRPr="00170356">
        <w:rPr>
          <w:rFonts w:eastAsia="Calibri"/>
          <w:sz w:val="22"/>
          <w:szCs w:val="22"/>
          <w:lang w:eastAsia="en-US"/>
          <w14:ligatures w14:val="standardContextual"/>
        </w:rPr>
        <w:t>Kulturdirektoratets</w:t>
      </w:r>
      <w:proofErr w:type="spellEnd"/>
      <w:r w:rsidRPr="00170356">
        <w:rPr>
          <w:rFonts w:eastAsia="Calibri"/>
          <w:sz w:val="22"/>
          <w:szCs w:val="22"/>
          <w:lang w:eastAsia="en-US"/>
          <w14:ligatures w14:val="standardContextual"/>
        </w:rPr>
        <w:t xml:space="preserve"> virksomhet.  </w:t>
      </w:r>
    </w:p>
    <w:p w14:paraId="71B1ADA2"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Reglene i del 1 er bindende. Veiledningen i del 2 er ikke bindende, men er ment som en veiledning for vurderingen. Veiledningen gir en nærmere beskrivelse av ulike hensyn som må vektlegges, og gir enkelte eksempler på konkrete situasjoner og problemstillinger som kan oppstå ved saksbehandlingen i Kulturdirektoratet.</w:t>
      </w:r>
    </w:p>
    <w:p w14:paraId="485F1F14" w14:textId="77777777" w:rsidR="00170356" w:rsidRPr="00170356" w:rsidRDefault="00170356" w:rsidP="00170356">
      <w:pPr>
        <w:spacing w:after="240" w:line="276" w:lineRule="auto"/>
        <w:rPr>
          <w:rFonts w:eastAsia="Segoe UI"/>
          <w:color w:val="000000"/>
          <w:sz w:val="22"/>
          <w:szCs w:val="22"/>
          <w:lang w:eastAsia="en-US"/>
          <w14:ligatures w14:val="standardContextual"/>
        </w:rPr>
      </w:pPr>
      <w:r w:rsidRPr="00170356">
        <w:rPr>
          <w:rFonts w:eastAsia="Segoe UI"/>
          <w:color w:val="000000"/>
          <w:sz w:val="22"/>
          <w:szCs w:val="22"/>
          <w:lang w:eastAsia="en-US"/>
          <w14:ligatures w14:val="standardContextual"/>
        </w:rPr>
        <w:t>Del 2 gir veiledning for habilitetsvurderingene. Veiledningen er ikke ment å være uttømmende, men skal hjelpe med vurderingen. Veiledningen gir eksempler på hensyn som bør vektlegges og konkrete situasjoner som kan oppstå i saksbehandlingen.</w:t>
      </w:r>
    </w:p>
    <w:p w14:paraId="04382C9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I veilederen benyttes begrepet «Tjenestemann» av praktiske hensyn som samlebegrep for alle som utøver offentlig myndighet som ansatt i Kulturdirektoratet, er medlem i Kulturrådet / Utvalget for Statens kunstnerstipend / Styret i Fond for lyd og bilde, er medlem i fagutvalg / underutvalg / </w:t>
      </w:r>
      <w:proofErr w:type="spellStart"/>
      <w:r w:rsidRPr="00170356">
        <w:rPr>
          <w:rFonts w:eastAsia="Calibri"/>
          <w:sz w:val="22"/>
          <w:szCs w:val="22"/>
          <w:lang w:eastAsia="en-US"/>
          <w14:ligatures w14:val="standardContextual"/>
        </w:rPr>
        <w:t>stipendkomitè</w:t>
      </w:r>
      <w:proofErr w:type="spellEnd"/>
      <w:r w:rsidRPr="00170356">
        <w:rPr>
          <w:rFonts w:eastAsia="Calibri"/>
          <w:sz w:val="22"/>
          <w:szCs w:val="22"/>
          <w:lang w:eastAsia="en-US"/>
          <w14:ligatures w14:val="standardContextual"/>
        </w:rPr>
        <w:t xml:space="preserve"> og andre som utfører arbeid eller tjeneste for Kulturdirektoratet.</w:t>
      </w:r>
    </w:p>
    <w:p w14:paraId="7A136D07" w14:textId="77777777" w:rsidR="00170356" w:rsidRPr="008A34A9" w:rsidRDefault="00170356" w:rsidP="00A96EF0">
      <w:pPr>
        <w:pStyle w:val="Overskrift1"/>
        <w:ind w:left="567" w:hanging="567"/>
        <w:rPr>
          <w:sz w:val="32"/>
          <w:szCs w:val="32"/>
          <w:lang w:eastAsia="en-US"/>
        </w:rPr>
      </w:pPr>
      <w:bookmarkStart w:id="1" w:name="_Hlk177376981"/>
      <w:bookmarkStart w:id="2" w:name="_Toc92804902"/>
      <w:r w:rsidRPr="008A34A9">
        <w:rPr>
          <w:sz w:val="32"/>
          <w:szCs w:val="32"/>
          <w:lang w:eastAsia="en-US"/>
        </w:rPr>
        <w:t xml:space="preserve">Del 1 </w:t>
      </w:r>
      <w:bookmarkEnd w:id="2"/>
      <w:r w:rsidRPr="008A34A9">
        <w:rPr>
          <w:sz w:val="32"/>
          <w:szCs w:val="32"/>
          <w:lang w:eastAsia="en-US"/>
        </w:rPr>
        <w:t>Krav til behandling av habilitetsspørsmål</w:t>
      </w:r>
    </w:p>
    <w:p w14:paraId="2B79AB89" w14:textId="77777777" w:rsidR="00BE6E60" w:rsidRPr="00BE6E60" w:rsidRDefault="00BE6E60" w:rsidP="00BE6E60">
      <w:pPr>
        <w:pStyle w:val="Brdtekst"/>
        <w:rPr>
          <w:lang w:eastAsia="en-US"/>
        </w:rPr>
      </w:pPr>
    </w:p>
    <w:p w14:paraId="564A8D05" w14:textId="07B5D163" w:rsidR="00170356" w:rsidRDefault="00170356" w:rsidP="00A96EF0">
      <w:pPr>
        <w:pStyle w:val="Overskrift2"/>
        <w:ind w:left="567" w:hanging="567"/>
        <w:rPr>
          <w:lang w:eastAsia="en-US"/>
        </w:rPr>
      </w:pPr>
      <w:r w:rsidRPr="00170356">
        <w:rPr>
          <w:lang w:eastAsia="en-US"/>
        </w:rPr>
        <w:t>Automatisk inhabilitet</w:t>
      </w:r>
    </w:p>
    <w:p w14:paraId="5409A739" w14:textId="77777777" w:rsidR="0049399F" w:rsidRPr="0049399F" w:rsidRDefault="0049399F" w:rsidP="0049399F">
      <w:pPr>
        <w:pStyle w:val="Brdtekst"/>
        <w:rPr>
          <w:lang w:eastAsia="en-US"/>
        </w:rPr>
      </w:pPr>
    </w:p>
    <w:p w14:paraId="0510CCD1"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er inhabil til å tilrettelegge grunnlaget for en avgjørelse eller til å treffe avgjørelse i en sak</w:t>
      </w:r>
    </w:p>
    <w:p w14:paraId="708E12CA" w14:textId="77777777" w:rsidR="00170356" w:rsidRPr="00170356" w:rsidRDefault="00170356" w:rsidP="00170356">
      <w:pPr>
        <w:numPr>
          <w:ilvl w:val="0"/>
          <w:numId w:val="40"/>
        </w:numPr>
        <w:spacing w:before="120" w:after="120" w:line="276" w:lineRule="auto"/>
        <w:ind w:right="57"/>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når han eller hun selv er part i saken;</w:t>
      </w:r>
    </w:p>
    <w:p w14:paraId="1573B750" w14:textId="77777777" w:rsidR="00170356" w:rsidRPr="00170356" w:rsidRDefault="00170356" w:rsidP="00170356">
      <w:pPr>
        <w:numPr>
          <w:ilvl w:val="0"/>
          <w:numId w:val="40"/>
        </w:numPr>
        <w:spacing w:before="120" w:after="120" w:line="276" w:lineRule="auto"/>
        <w:ind w:right="57"/>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når han eller hun er i slekt eller svogerskap med en part i opp- eller nedstigende linje eller i sidelinje så nær som søsken;</w:t>
      </w:r>
    </w:p>
    <w:p w14:paraId="134C2925" w14:textId="77777777" w:rsidR="00170356" w:rsidRPr="00170356" w:rsidRDefault="00170356" w:rsidP="00170356">
      <w:pPr>
        <w:numPr>
          <w:ilvl w:val="0"/>
          <w:numId w:val="40"/>
        </w:numPr>
        <w:spacing w:before="120" w:after="120" w:line="276" w:lineRule="auto"/>
        <w:ind w:right="57"/>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når han eller hun er eller har vært gift, partner, samboer eller forlovet med, eller er fosterfar, fostermor eller fosterbarn, til en part;</w:t>
      </w:r>
    </w:p>
    <w:p w14:paraId="6BD322F1" w14:textId="77777777" w:rsidR="00170356" w:rsidRPr="00170356" w:rsidRDefault="00170356" w:rsidP="00170356">
      <w:pPr>
        <w:numPr>
          <w:ilvl w:val="0"/>
          <w:numId w:val="40"/>
        </w:numPr>
        <w:spacing w:before="120" w:after="120" w:line="276" w:lineRule="auto"/>
        <w:ind w:right="57"/>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når han eller hun er verge eller fullmektig for en part i saken eller har vært verge eller fullmektig for en part etter at saken begynte;</w:t>
      </w:r>
    </w:p>
    <w:p w14:paraId="1DF061BA" w14:textId="77777777" w:rsidR="00170356" w:rsidRPr="00170356" w:rsidRDefault="00170356" w:rsidP="00170356">
      <w:pPr>
        <w:numPr>
          <w:ilvl w:val="0"/>
          <w:numId w:val="40"/>
        </w:numPr>
        <w:spacing w:before="120" w:after="120" w:line="276" w:lineRule="auto"/>
        <w:ind w:right="57"/>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når han eller hun leder eller har ledende stilling i, eller er medlem av styret eller bedriftsforsamling for en offentlig eller privat virksomhet, institusjon, forening eller stiftelse som er part i saken.</w:t>
      </w:r>
    </w:p>
    <w:bookmarkEnd w:id="1"/>
    <w:p w14:paraId="29E1DEE2" w14:textId="341EB6AF" w:rsidR="00170356" w:rsidRDefault="00170356" w:rsidP="00836E34">
      <w:pPr>
        <w:pStyle w:val="Overskrift2"/>
        <w:rPr>
          <w:rFonts w:eastAsia="Calibri"/>
          <w:lang w:eastAsia="en-US"/>
        </w:rPr>
      </w:pPr>
      <w:r w:rsidRPr="00170356">
        <w:rPr>
          <w:rFonts w:eastAsia="Calibri"/>
          <w:lang w:eastAsia="en-US"/>
        </w:rPr>
        <w:t>Inhabilitet etter skjønn</w:t>
      </w:r>
    </w:p>
    <w:p w14:paraId="3BCD688D" w14:textId="77777777" w:rsidR="00836E34" w:rsidRPr="00836E34" w:rsidRDefault="00836E34" w:rsidP="00836E34">
      <w:pPr>
        <w:pStyle w:val="Brdtekst"/>
        <w:rPr>
          <w:rFonts w:eastAsia="Calibri"/>
          <w:lang w:eastAsia="en-US"/>
        </w:rPr>
      </w:pPr>
    </w:p>
    <w:p w14:paraId="5930546C"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er inhabil til å forberede eller fatte en beslutning i en sak dersom det finnes særlige forhold som kan svekke tilliten til hans eller hennes upartiskhet, utover det som er nevnt i punkt 1.</w:t>
      </w:r>
    </w:p>
    <w:p w14:paraId="2E23A8A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skal vurderes om avgjørelsen kan gi særlig fordel, tap eller ulempe for tjenestemannen selv eller noen de har nær personlig tilknytning til. Det skal også tas hensyn til om habilitetsinnsigelse er reist av en part.</w:t>
      </w:r>
    </w:p>
    <w:p w14:paraId="2909B3FC" w14:textId="749B94C1" w:rsidR="00170356" w:rsidRDefault="00170356" w:rsidP="00836E34">
      <w:pPr>
        <w:pStyle w:val="Overskrift2"/>
        <w:rPr>
          <w:rFonts w:eastAsia="Calibri"/>
          <w:lang w:eastAsia="en-US"/>
        </w:rPr>
      </w:pPr>
      <w:r w:rsidRPr="00170356">
        <w:rPr>
          <w:rFonts w:eastAsia="Calibri"/>
          <w:lang w:eastAsia="en-US"/>
        </w:rPr>
        <w:lastRenderedPageBreak/>
        <w:t>Avgjørelse av habilitetsspørsmålet</w:t>
      </w:r>
    </w:p>
    <w:p w14:paraId="5416FA19" w14:textId="77777777" w:rsidR="0049399F" w:rsidRPr="0049399F" w:rsidRDefault="0049399F" w:rsidP="0049399F">
      <w:pPr>
        <w:pStyle w:val="Brdtekst"/>
        <w:rPr>
          <w:rFonts w:eastAsia="Calibri"/>
          <w:lang w:eastAsia="en-US"/>
        </w:rPr>
      </w:pPr>
    </w:p>
    <w:p w14:paraId="744A8F8E"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skal i god tid melde fra om forhold som kan gjøre vedkommende inhabil i en sak.</w:t>
      </w:r>
    </w:p>
    <w:p w14:paraId="6B721F9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For ansatte i Kulturdirektoratet avgjør nærmeste leder habilitetsspørsmålet. For medlemmer i kollegiale organer avgjøres habilitetsspørsmålet av det aktuelle fagutvalg/underutvalg/stipendkomité. Medlemmet redegjør for sin tilknytning til saken og utvalget avgjør habilitetsspørsmålet. Medlemmet skal forlate møtet mens utvalget fatter sin avgjørelse.</w:t>
      </w:r>
    </w:p>
    <w:p w14:paraId="1432B801"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Hvis flere medlemmer er </w:t>
      </w:r>
      <w:proofErr w:type="gramStart"/>
      <w:r w:rsidRPr="00170356">
        <w:rPr>
          <w:rFonts w:eastAsia="Calibri"/>
          <w:sz w:val="22"/>
          <w:szCs w:val="22"/>
          <w:lang w:eastAsia="en-US"/>
          <w14:ligatures w14:val="standardContextual"/>
        </w:rPr>
        <w:t>potensielt</w:t>
      </w:r>
      <w:proofErr w:type="gramEnd"/>
      <w:r w:rsidRPr="00170356">
        <w:rPr>
          <w:rFonts w:eastAsia="Calibri"/>
          <w:sz w:val="22"/>
          <w:szCs w:val="22"/>
          <w:lang w:eastAsia="en-US"/>
          <w14:ligatures w14:val="standardContextual"/>
        </w:rPr>
        <w:t xml:space="preserve"> inhabile i samme sak, kan ingen av dem delta i avgjørelsen av egen eller andres habilitet. Hvis flere medlemmer er </w:t>
      </w:r>
      <w:proofErr w:type="gramStart"/>
      <w:r w:rsidRPr="00170356">
        <w:rPr>
          <w:rFonts w:eastAsia="Calibri"/>
          <w:sz w:val="22"/>
          <w:szCs w:val="22"/>
          <w:lang w:eastAsia="en-US"/>
          <w14:ligatures w14:val="standardContextual"/>
        </w:rPr>
        <w:t>potensielt</w:t>
      </w:r>
      <w:proofErr w:type="gramEnd"/>
      <w:r w:rsidRPr="00170356">
        <w:rPr>
          <w:rFonts w:eastAsia="Calibri"/>
          <w:sz w:val="22"/>
          <w:szCs w:val="22"/>
          <w:lang w:eastAsia="en-US"/>
          <w14:ligatures w14:val="standardContextual"/>
        </w:rPr>
        <w:t xml:space="preserve"> inhabile i samme sak og organet ikke vil være vedtaksdyktig skal alle møtende medlemmer delta i avgjørelsen.</w:t>
      </w:r>
    </w:p>
    <w:p w14:paraId="78C9B13D"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Administrasjonen i Kulturdirektoratet avgjør om medlemmer av fagutvalg som kun oppnevnes for å forberede eller treffe avgjørelse i én enkelt sak og andre som utfører arbeid eller tjeneste for Kulturrådet uten å være del av et kollegialt organ, er habile i den enkelte sak.</w:t>
      </w:r>
    </w:p>
    <w:p w14:paraId="6CA157CF" w14:textId="74AE8550" w:rsidR="00170356" w:rsidRDefault="00170356" w:rsidP="0049399F">
      <w:pPr>
        <w:pStyle w:val="Overskrift2"/>
        <w:rPr>
          <w:rFonts w:eastAsia="Calibri"/>
          <w:lang w:eastAsia="en-US"/>
        </w:rPr>
      </w:pPr>
      <w:r w:rsidRPr="00170356">
        <w:rPr>
          <w:rFonts w:eastAsia="Calibri"/>
          <w:lang w:eastAsia="en-US"/>
        </w:rPr>
        <w:t>Plikt til å fratre</w:t>
      </w:r>
    </w:p>
    <w:p w14:paraId="6C2111D9" w14:textId="77777777" w:rsidR="0049399F" w:rsidRPr="0049399F" w:rsidRDefault="0049399F" w:rsidP="0049399F">
      <w:pPr>
        <w:pStyle w:val="Brdtekst"/>
        <w:rPr>
          <w:rFonts w:eastAsia="Calibri"/>
          <w:lang w:eastAsia="en-US"/>
        </w:rPr>
      </w:pPr>
    </w:p>
    <w:p w14:paraId="04B29AB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plikter å fratre fra hele behandlingen av saken hvor inhabilitet inntreffer. Vedkommende skal ikke delta i diskusjoner eller annet forberedende arbeid knyttet til saken og skal forlate rommet når saken behandles og avgjøres.</w:t>
      </w:r>
    </w:p>
    <w:p w14:paraId="52E5EAFE" w14:textId="3C095C0D" w:rsidR="00170356" w:rsidRDefault="00170356" w:rsidP="0049399F">
      <w:pPr>
        <w:pStyle w:val="Overskrift2"/>
        <w:rPr>
          <w:rFonts w:eastAsia="Calibri"/>
          <w:lang w:eastAsia="en-US"/>
        </w:rPr>
      </w:pPr>
      <w:r w:rsidRPr="00170356">
        <w:rPr>
          <w:rFonts w:eastAsia="Calibri"/>
          <w:lang w:eastAsia="en-US"/>
        </w:rPr>
        <w:t>Regler om kvalitetssikring</w:t>
      </w:r>
    </w:p>
    <w:p w14:paraId="399123C3" w14:textId="77777777" w:rsidR="0049399F" w:rsidRPr="0049399F" w:rsidRDefault="0049399F" w:rsidP="0049399F">
      <w:pPr>
        <w:pStyle w:val="Brdtekst"/>
        <w:rPr>
          <w:rFonts w:eastAsia="Calibri"/>
          <w:lang w:eastAsia="en-US"/>
        </w:rPr>
      </w:pPr>
    </w:p>
    <w:p w14:paraId="5974F8ED"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skal forelegges denne veilederen til underskrift ved ansettelse / oppnevnelse. Vedkommende skal bekrefte at han eller hun er kjent med reglene, og vil etterleve disse. Samtidig skal vedkommende opplyse om verv eller andre forhold som kan ha betydning for hans eller hennes habilitet i arbeidet for Kulturdirektoratet.</w:t>
      </w:r>
    </w:p>
    <w:p w14:paraId="777E7017" w14:textId="77777777" w:rsidR="00170356" w:rsidRPr="00170356" w:rsidRDefault="00170356" w:rsidP="00170356">
      <w:pPr>
        <w:spacing w:after="240" w:line="276" w:lineRule="auto"/>
        <w:rPr>
          <w:rFonts w:eastAsia="Calibri"/>
          <w:sz w:val="22"/>
          <w:szCs w:val="22"/>
          <w:u w:val="single"/>
          <w:lang w:eastAsia="en-US"/>
          <w14:ligatures w14:val="standardContextual"/>
        </w:rPr>
      </w:pPr>
      <w:r w:rsidRPr="00170356">
        <w:rPr>
          <w:rFonts w:eastAsia="Calibri"/>
          <w:sz w:val="22"/>
          <w:szCs w:val="22"/>
          <w:lang w:eastAsia="en-US"/>
          <w14:ligatures w14:val="standardContextual"/>
        </w:rPr>
        <w:t>Dersom en tjenestemann oppnevnes for å forberede eller treffe avgjørelse i en bestemt sak, skal vedkommende erklære at han eller hun ikke kjenner til forhold som gjør vedkommende inhabil til å forberede eller treffe vedtak i den aktuelle saken.</w:t>
      </w:r>
    </w:p>
    <w:p w14:paraId="489F13F2"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På hvert møte i kollegiale organer skal spørsmålet om inhabilitet være et eget punkt på dagsordenen. Det skal </w:t>
      </w:r>
      <w:proofErr w:type="gramStart"/>
      <w:r w:rsidRPr="00170356">
        <w:rPr>
          <w:rFonts w:eastAsia="Calibri"/>
          <w:sz w:val="22"/>
          <w:szCs w:val="22"/>
          <w:lang w:eastAsia="en-US"/>
          <w14:ligatures w14:val="standardContextual"/>
        </w:rPr>
        <w:t>fremgå</w:t>
      </w:r>
      <w:proofErr w:type="gramEnd"/>
      <w:r w:rsidRPr="00170356">
        <w:rPr>
          <w:rFonts w:eastAsia="Calibri"/>
          <w:sz w:val="22"/>
          <w:szCs w:val="22"/>
          <w:lang w:eastAsia="en-US"/>
          <w14:ligatures w14:val="standardContextual"/>
        </w:rPr>
        <w:t xml:space="preserve"> av referatet dersom det er vurdert habilitet knyttet til en enkelt sak, hvilke forhold som eventuelt har vært drøftet, hvem som har deltatt i drøftelsene, og hvilken beslutning det kollegiale organet har truffet i habilitetsspørsmålet.</w:t>
      </w:r>
    </w:p>
    <w:p w14:paraId="19CD12D8" w14:textId="77777777" w:rsidR="00170356" w:rsidRPr="00170356" w:rsidRDefault="00170356" w:rsidP="00170356">
      <w:pPr>
        <w:spacing w:after="240" w:line="276" w:lineRule="auto"/>
        <w:rPr>
          <w:rFonts w:eastAsia="Calibri"/>
          <w:sz w:val="22"/>
          <w:szCs w:val="22"/>
          <w:lang w:eastAsia="en-US"/>
          <w14:ligatures w14:val="standardContextual"/>
        </w:rPr>
      </w:pPr>
      <w:bookmarkStart w:id="3" w:name="_Toc92804903"/>
      <w:r w:rsidRPr="00170356">
        <w:rPr>
          <w:rFonts w:eastAsia="Calibri"/>
          <w:sz w:val="22"/>
          <w:szCs w:val="22"/>
          <w:lang w:eastAsia="en-US"/>
          <w14:ligatures w14:val="standardContextual"/>
        </w:rPr>
        <w:t xml:space="preserve">Dersom det i en sak som behandles, er innhentet eksterne uttalelser eller vurderinger, skal det </w:t>
      </w:r>
      <w:proofErr w:type="gramStart"/>
      <w:r w:rsidRPr="00170356">
        <w:rPr>
          <w:rFonts w:eastAsia="Calibri"/>
          <w:sz w:val="22"/>
          <w:szCs w:val="22"/>
          <w:lang w:eastAsia="en-US"/>
          <w14:ligatures w14:val="standardContextual"/>
        </w:rPr>
        <w:t>fremgå</w:t>
      </w:r>
      <w:proofErr w:type="gramEnd"/>
      <w:r w:rsidRPr="00170356">
        <w:rPr>
          <w:rFonts w:eastAsia="Calibri"/>
          <w:sz w:val="22"/>
          <w:szCs w:val="22"/>
          <w:lang w:eastAsia="en-US"/>
          <w14:ligatures w14:val="standardContextual"/>
        </w:rPr>
        <w:t xml:space="preserve"> av referatet hvem som har tilrettelagt for det kollegiale organets saksbehandling, og at den eksterne personens habilitet er vurdert av administrasjonen i Kulturdirektoratet.</w:t>
      </w:r>
    </w:p>
    <w:p w14:paraId="6B589978" w14:textId="39ED85CD" w:rsidR="00170356" w:rsidRDefault="00170356" w:rsidP="0049399F">
      <w:pPr>
        <w:pStyle w:val="Overskrift2"/>
        <w:rPr>
          <w:lang w:eastAsia="en-US"/>
        </w:rPr>
      </w:pPr>
      <w:r w:rsidRPr="00170356">
        <w:rPr>
          <w:lang w:eastAsia="en-US"/>
        </w:rPr>
        <w:t>Inhabilitet hos overordnede</w:t>
      </w:r>
    </w:p>
    <w:p w14:paraId="0355A517" w14:textId="77777777" w:rsidR="0049399F" w:rsidRPr="0049399F" w:rsidRDefault="0049399F" w:rsidP="0049399F">
      <w:pPr>
        <w:pStyle w:val="Brdtekst"/>
        <w:rPr>
          <w:lang w:eastAsia="en-US"/>
        </w:rPr>
      </w:pPr>
    </w:p>
    <w:p w14:paraId="410488D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Dersom en ansatt i ledende stilling i Kulturdirektoratet er inhabil, kan avgjørelse i saken heller ikke treffes av ansatte som er direkte underordnet ham eller henne. I slike tilfeller kan saken løses enten ved at saken overføres </w:t>
      </w:r>
      <w:r w:rsidRPr="00170356">
        <w:rPr>
          <w:rFonts w:eastAsia="Calibri"/>
          <w:sz w:val="22"/>
          <w:szCs w:val="22"/>
          <w:lang w:eastAsia="en-US"/>
          <w14:ligatures w14:val="standardContextual"/>
        </w:rPr>
        <w:lastRenderedPageBreak/>
        <w:t>til behandling i en annen seksjon/avdeling eller ved at den aktuelle lederen erstattes av en annen leder for det aktuelle sakskomplekset.</w:t>
      </w:r>
    </w:p>
    <w:p w14:paraId="66030190" w14:textId="6793D16D" w:rsidR="00170356" w:rsidRDefault="00170356" w:rsidP="0049399F">
      <w:pPr>
        <w:pStyle w:val="Overskrift2"/>
        <w:rPr>
          <w:rFonts w:eastAsia="Calibri"/>
          <w:lang w:eastAsia="en-US"/>
        </w:rPr>
      </w:pPr>
      <w:r w:rsidRPr="00170356">
        <w:rPr>
          <w:rFonts w:eastAsia="Calibri"/>
          <w:lang w:eastAsia="en-US"/>
        </w:rPr>
        <w:t>Inhabilitet som åpenbart ikke har innvirkning på saken</w:t>
      </w:r>
    </w:p>
    <w:p w14:paraId="732F5A8E" w14:textId="77777777" w:rsidR="0049399F" w:rsidRPr="0049399F" w:rsidRDefault="0049399F" w:rsidP="0049399F">
      <w:pPr>
        <w:pStyle w:val="Brdtekst"/>
        <w:rPr>
          <w:rFonts w:eastAsia="Calibri"/>
          <w:lang w:eastAsia="en-US"/>
        </w:rPr>
      </w:pPr>
    </w:p>
    <w:p w14:paraId="1C5FE082"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Reglene om inhabilitet får ikke </w:t>
      </w:r>
      <w:proofErr w:type="gramStart"/>
      <w:r w:rsidRPr="00170356">
        <w:rPr>
          <w:rFonts w:eastAsia="Calibri"/>
          <w:sz w:val="22"/>
          <w:szCs w:val="22"/>
          <w:lang w:eastAsia="en-US"/>
          <w14:ligatures w14:val="standardContextual"/>
        </w:rPr>
        <w:t>anvendelse</w:t>
      </w:r>
      <w:proofErr w:type="gramEnd"/>
      <w:r w:rsidRPr="00170356">
        <w:rPr>
          <w:rFonts w:eastAsia="Calibri"/>
          <w:sz w:val="22"/>
          <w:szCs w:val="22"/>
          <w:lang w:eastAsia="en-US"/>
          <w14:ligatures w14:val="standardContextual"/>
        </w:rPr>
        <w:t xml:space="preserve"> dersom det er åpenbart at tjenestemannens tilknytning til saken eller partene ikke vil kunne påvirke hans standpunkt, og verken offentlige eller private interesser tilsier at tjenestemannen bør vike sete.</w:t>
      </w:r>
    </w:p>
    <w:p w14:paraId="2534A3FC" w14:textId="012450D3" w:rsidR="00170356" w:rsidRDefault="00170356" w:rsidP="0049399F">
      <w:pPr>
        <w:pStyle w:val="Overskrift2"/>
        <w:rPr>
          <w:rFonts w:eastAsia="Calibri"/>
          <w:lang w:eastAsia="en-US"/>
        </w:rPr>
      </w:pPr>
      <w:r w:rsidRPr="00170356">
        <w:rPr>
          <w:rFonts w:eastAsia="Calibri"/>
          <w:lang w:eastAsia="en-US"/>
        </w:rPr>
        <w:t>Foreløpig avgjørelse</w:t>
      </w:r>
    </w:p>
    <w:p w14:paraId="171C3F7A" w14:textId="77777777" w:rsidR="0049399F" w:rsidRPr="0049399F" w:rsidRDefault="0049399F" w:rsidP="0049399F">
      <w:pPr>
        <w:pStyle w:val="Brdtekst"/>
        <w:rPr>
          <w:rFonts w:eastAsia="Calibri"/>
          <w:lang w:eastAsia="en-US"/>
        </w:rPr>
      </w:pPr>
    </w:p>
    <w:p w14:paraId="6F83BC55" w14:textId="77777777" w:rsid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Til tross for at det foreligger inhabilitet, kan en tjenestemann som er inhabil, behandle eller treffe foreløpig avgjørelse i en sak dersom utsettelse ikke kan skje uten vesentlig ulempe eller skadevirkning.</w:t>
      </w:r>
    </w:p>
    <w:p w14:paraId="06928E0E" w14:textId="77777777" w:rsidR="00B056CF" w:rsidRDefault="00B056CF" w:rsidP="00170356">
      <w:pPr>
        <w:spacing w:after="240" w:line="276" w:lineRule="auto"/>
        <w:rPr>
          <w:rFonts w:eastAsia="Calibri"/>
          <w:sz w:val="22"/>
          <w:szCs w:val="22"/>
          <w:lang w:eastAsia="en-US"/>
          <w14:ligatures w14:val="standardContextual"/>
        </w:rPr>
      </w:pPr>
    </w:p>
    <w:p w14:paraId="6FFCBC9F" w14:textId="77777777" w:rsidR="00B056CF" w:rsidRDefault="00B056CF" w:rsidP="00170356">
      <w:pPr>
        <w:spacing w:after="240" w:line="276" w:lineRule="auto"/>
        <w:rPr>
          <w:rFonts w:eastAsia="Calibri"/>
          <w:sz w:val="22"/>
          <w:szCs w:val="22"/>
          <w:lang w:eastAsia="en-US"/>
          <w14:ligatures w14:val="standardContextual"/>
        </w:rPr>
      </w:pPr>
    </w:p>
    <w:p w14:paraId="327FCDC3" w14:textId="77777777" w:rsidR="00B056CF" w:rsidRDefault="00B056CF" w:rsidP="00170356">
      <w:pPr>
        <w:spacing w:after="240" w:line="276" w:lineRule="auto"/>
        <w:rPr>
          <w:rFonts w:eastAsia="Calibri"/>
          <w:sz w:val="22"/>
          <w:szCs w:val="22"/>
          <w:lang w:eastAsia="en-US"/>
          <w14:ligatures w14:val="standardContextual"/>
        </w:rPr>
      </w:pPr>
    </w:p>
    <w:p w14:paraId="288229C7" w14:textId="77777777" w:rsidR="00B056CF" w:rsidRDefault="00B056CF" w:rsidP="00170356">
      <w:pPr>
        <w:spacing w:after="240" w:line="276" w:lineRule="auto"/>
        <w:rPr>
          <w:rFonts w:eastAsia="Calibri"/>
          <w:sz w:val="22"/>
          <w:szCs w:val="22"/>
          <w:lang w:eastAsia="en-US"/>
          <w14:ligatures w14:val="standardContextual"/>
        </w:rPr>
      </w:pPr>
    </w:p>
    <w:p w14:paraId="497DFA75" w14:textId="77777777" w:rsidR="00B056CF" w:rsidRDefault="00B056CF" w:rsidP="00170356">
      <w:pPr>
        <w:spacing w:after="240" w:line="276" w:lineRule="auto"/>
        <w:rPr>
          <w:rFonts w:eastAsia="Calibri"/>
          <w:sz w:val="22"/>
          <w:szCs w:val="22"/>
          <w:lang w:eastAsia="en-US"/>
          <w14:ligatures w14:val="standardContextual"/>
        </w:rPr>
      </w:pPr>
    </w:p>
    <w:p w14:paraId="3597C9B5" w14:textId="77777777" w:rsidR="00B056CF" w:rsidRDefault="00B056CF" w:rsidP="00170356">
      <w:pPr>
        <w:spacing w:after="240" w:line="276" w:lineRule="auto"/>
        <w:rPr>
          <w:rFonts w:eastAsia="Calibri"/>
          <w:sz w:val="22"/>
          <w:szCs w:val="22"/>
          <w:lang w:eastAsia="en-US"/>
          <w14:ligatures w14:val="standardContextual"/>
        </w:rPr>
      </w:pPr>
    </w:p>
    <w:p w14:paraId="00F4B896" w14:textId="77777777" w:rsidR="00B056CF" w:rsidRDefault="00B056CF" w:rsidP="00170356">
      <w:pPr>
        <w:spacing w:after="240" w:line="276" w:lineRule="auto"/>
        <w:rPr>
          <w:rFonts w:eastAsia="Calibri"/>
          <w:sz w:val="22"/>
          <w:szCs w:val="22"/>
          <w:lang w:eastAsia="en-US"/>
          <w14:ligatures w14:val="standardContextual"/>
        </w:rPr>
      </w:pPr>
    </w:p>
    <w:p w14:paraId="6150C789" w14:textId="77777777" w:rsidR="00B056CF" w:rsidRDefault="00B056CF" w:rsidP="00170356">
      <w:pPr>
        <w:spacing w:after="240" w:line="276" w:lineRule="auto"/>
        <w:rPr>
          <w:rFonts w:eastAsia="Calibri"/>
          <w:sz w:val="22"/>
          <w:szCs w:val="22"/>
          <w:lang w:eastAsia="en-US"/>
          <w14:ligatures w14:val="standardContextual"/>
        </w:rPr>
      </w:pPr>
    </w:p>
    <w:p w14:paraId="72040BAF" w14:textId="77777777" w:rsidR="00B056CF" w:rsidRDefault="00B056CF" w:rsidP="00170356">
      <w:pPr>
        <w:spacing w:after="240" w:line="276" w:lineRule="auto"/>
        <w:rPr>
          <w:rFonts w:eastAsia="Calibri"/>
          <w:sz w:val="22"/>
          <w:szCs w:val="22"/>
          <w:lang w:eastAsia="en-US"/>
          <w14:ligatures w14:val="standardContextual"/>
        </w:rPr>
      </w:pPr>
    </w:p>
    <w:p w14:paraId="7C9730CD" w14:textId="77777777" w:rsidR="00B056CF" w:rsidRDefault="00B056CF" w:rsidP="00170356">
      <w:pPr>
        <w:spacing w:after="240" w:line="276" w:lineRule="auto"/>
        <w:rPr>
          <w:rFonts w:eastAsia="Calibri"/>
          <w:sz w:val="22"/>
          <w:szCs w:val="22"/>
          <w:lang w:eastAsia="en-US"/>
          <w14:ligatures w14:val="standardContextual"/>
        </w:rPr>
      </w:pPr>
    </w:p>
    <w:p w14:paraId="387A66CD" w14:textId="77777777" w:rsidR="00B056CF" w:rsidRDefault="00B056CF" w:rsidP="00170356">
      <w:pPr>
        <w:spacing w:after="240" w:line="276" w:lineRule="auto"/>
        <w:rPr>
          <w:rFonts w:eastAsia="Calibri"/>
          <w:sz w:val="22"/>
          <w:szCs w:val="22"/>
          <w:lang w:eastAsia="en-US"/>
          <w14:ligatures w14:val="standardContextual"/>
        </w:rPr>
      </w:pPr>
    </w:p>
    <w:p w14:paraId="3DE4B28F" w14:textId="77777777" w:rsidR="00B056CF" w:rsidRDefault="00B056CF" w:rsidP="00170356">
      <w:pPr>
        <w:spacing w:after="240" w:line="276" w:lineRule="auto"/>
        <w:rPr>
          <w:rFonts w:eastAsia="Calibri"/>
          <w:sz w:val="22"/>
          <w:szCs w:val="22"/>
          <w:lang w:eastAsia="en-US"/>
          <w14:ligatures w14:val="standardContextual"/>
        </w:rPr>
      </w:pPr>
    </w:p>
    <w:p w14:paraId="49AA14FF" w14:textId="77777777" w:rsidR="00B056CF" w:rsidRDefault="00B056CF" w:rsidP="00170356">
      <w:pPr>
        <w:spacing w:after="240" w:line="276" w:lineRule="auto"/>
        <w:rPr>
          <w:rFonts w:eastAsia="Calibri"/>
          <w:sz w:val="22"/>
          <w:szCs w:val="22"/>
          <w:lang w:eastAsia="en-US"/>
          <w14:ligatures w14:val="standardContextual"/>
        </w:rPr>
      </w:pPr>
    </w:p>
    <w:p w14:paraId="64B2B9FB" w14:textId="77777777" w:rsidR="00B056CF" w:rsidRDefault="00B056CF" w:rsidP="00170356">
      <w:pPr>
        <w:spacing w:after="240" w:line="276" w:lineRule="auto"/>
        <w:rPr>
          <w:rFonts w:eastAsia="Calibri"/>
          <w:sz w:val="22"/>
          <w:szCs w:val="22"/>
          <w:lang w:eastAsia="en-US"/>
          <w14:ligatures w14:val="standardContextual"/>
        </w:rPr>
      </w:pPr>
    </w:p>
    <w:p w14:paraId="07BDE846" w14:textId="77777777" w:rsidR="00B056CF" w:rsidRDefault="00B056CF" w:rsidP="00170356">
      <w:pPr>
        <w:spacing w:after="240" w:line="276" w:lineRule="auto"/>
        <w:rPr>
          <w:rFonts w:eastAsia="Calibri"/>
          <w:sz w:val="22"/>
          <w:szCs w:val="22"/>
          <w:lang w:eastAsia="en-US"/>
          <w14:ligatures w14:val="standardContextual"/>
        </w:rPr>
      </w:pPr>
    </w:p>
    <w:p w14:paraId="42E5DC0D" w14:textId="77777777" w:rsidR="00B056CF" w:rsidRDefault="00B056CF" w:rsidP="00170356">
      <w:pPr>
        <w:spacing w:after="240" w:line="276" w:lineRule="auto"/>
        <w:rPr>
          <w:rFonts w:eastAsia="Calibri"/>
          <w:sz w:val="22"/>
          <w:szCs w:val="22"/>
          <w:lang w:eastAsia="en-US"/>
          <w14:ligatures w14:val="standardContextual"/>
        </w:rPr>
      </w:pPr>
    </w:p>
    <w:p w14:paraId="7DF2B207" w14:textId="77777777" w:rsidR="00B056CF" w:rsidRDefault="00B056CF" w:rsidP="00170356">
      <w:pPr>
        <w:spacing w:after="240" w:line="276" w:lineRule="auto"/>
        <w:rPr>
          <w:rFonts w:eastAsia="Calibri"/>
          <w:sz w:val="22"/>
          <w:szCs w:val="22"/>
          <w:lang w:eastAsia="en-US"/>
          <w14:ligatures w14:val="standardContextual"/>
        </w:rPr>
      </w:pPr>
    </w:p>
    <w:p w14:paraId="61EFC722" w14:textId="77777777" w:rsidR="00B056CF" w:rsidRPr="00170356" w:rsidRDefault="00B056CF" w:rsidP="00170356">
      <w:pPr>
        <w:spacing w:after="240" w:line="276" w:lineRule="auto"/>
        <w:rPr>
          <w:rFonts w:eastAsia="Calibri"/>
          <w:sz w:val="22"/>
          <w:szCs w:val="22"/>
          <w:lang w:eastAsia="en-US"/>
          <w14:ligatures w14:val="standardContextual"/>
        </w:rPr>
      </w:pPr>
    </w:p>
    <w:p w14:paraId="2BDCF527" w14:textId="64447CDD" w:rsidR="00170356" w:rsidRPr="00CE1ED6" w:rsidRDefault="00170356" w:rsidP="00836E34">
      <w:pPr>
        <w:pStyle w:val="Overskrift1"/>
        <w:rPr>
          <w:sz w:val="32"/>
          <w:szCs w:val="32"/>
          <w:lang w:eastAsia="en-US"/>
        </w:rPr>
      </w:pPr>
      <w:r w:rsidRPr="00CE1ED6">
        <w:rPr>
          <w:sz w:val="32"/>
          <w:szCs w:val="32"/>
          <w:lang w:eastAsia="en-US"/>
        </w:rPr>
        <w:lastRenderedPageBreak/>
        <w:t xml:space="preserve">Del 2 – </w:t>
      </w:r>
      <w:r w:rsidRPr="00CE1ED6">
        <w:rPr>
          <w:sz w:val="32"/>
          <w:szCs w:val="32"/>
        </w:rPr>
        <w:t>Veiledning</w:t>
      </w:r>
      <w:r w:rsidRPr="00CE1ED6">
        <w:rPr>
          <w:sz w:val="32"/>
          <w:szCs w:val="32"/>
          <w:lang w:eastAsia="en-US"/>
        </w:rPr>
        <w:t xml:space="preserve"> til habilitetsvurderingen</w:t>
      </w:r>
      <w:bookmarkEnd w:id="3"/>
    </w:p>
    <w:p w14:paraId="2FE4E3B6" w14:textId="77777777" w:rsidR="00836E34" w:rsidRPr="00836E34" w:rsidRDefault="00836E34" w:rsidP="00836E34">
      <w:pPr>
        <w:pStyle w:val="Brdtekst"/>
        <w:rPr>
          <w:lang w:eastAsia="en-US"/>
        </w:rPr>
      </w:pPr>
    </w:p>
    <w:p w14:paraId="56B59EC6" w14:textId="61332099" w:rsidR="00170356" w:rsidRDefault="00170356" w:rsidP="00836E34">
      <w:pPr>
        <w:pStyle w:val="Overskrift2"/>
        <w:rPr>
          <w:lang w:eastAsia="en-US"/>
        </w:rPr>
      </w:pPr>
      <w:r w:rsidRPr="00170356">
        <w:rPr>
          <w:lang w:eastAsia="en-US"/>
        </w:rPr>
        <w:t>Innledning</w:t>
      </w:r>
    </w:p>
    <w:p w14:paraId="36142FC9" w14:textId="77777777" w:rsidR="00836E34" w:rsidRPr="00836E34" w:rsidRDefault="00836E34" w:rsidP="00836E34">
      <w:pPr>
        <w:pStyle w:val="Brdtekst"/>
        <w:rPr>
          <w:lang w:eastAsia="en-US"/>
        </w:rPr>
      </w:pPr>
    </w:p>
    <w:p w14:paraId="10990852"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I det følgende gis det en nærmere forklaring av reglene om habilitet og veiledning til praktisering av regelverket. Veiledningen er ikke bindende, men er ment som en veiledning til den habilitetsvurderingen som må foretas når det skal avgjøres om en tjenestemann er habil til å delta ved forberedelse og avgjørelse i saker til behandling.</w:t>
      </w:r>
    </w:p>
    <w:p w14:paraId="59E0E4F7"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I veiledningen beskrives ulike hensyn som må vektlegges i habilitetsvurderingen, og det gis eksempler på enkelte situasjoner og problemstillinger som kan oppstå i saksbehandlingen.</w:t>
      </w:r>
    </w:p>
    <w:p w14:paraId="23BCB3E5" w14:textId="2D708017" w:rsidR="00170356" w:rsidRDefault="00170356" w:rsidP="00836E34">
      <w:pPr>
        <w:pStyle w:val="Overskrift2"/>
        <w:rPr>
          <w:lang w:eastAsia="en-US"/>
        </w:rPr>
      </w:pPr>
      <w:r w:rsidRPr="00170356">
        <w:rPr>
          <w:lang w:eastAsia="en-US"/>
        </w:rPr>
        <w:t>Generelt om habilitet</w:t>
      </w:r>
    </w:p>
    <w:p w14:paraId="5FB29A89" w14:textId="77777777" w:rsidR="007E7F41" w:rsidRPr="007E7F41" w:rsidRDefault="007E7F41" w:rsidP="007E7F41">
      <w:pPr>
        <w:pStyle w:val="Brdtekst"/>
        <w:rPr>
          <w:lang w:eastAsia="en-US"/>
        </w:rPr>
      </w:pPr>
    </w:p>
    <w:p w14:paraId="194E1BB4" w14:textId="61DF73AD" w:rsidR="00170356" w:rsidRDefault="00170356" w:rsidP="007E7F41">
      <w:pPr>
        <w:pStyle w:val="Overskrift3"/>
        <w:rPr>
          <w:lang w:eastAsia="en-US"/>
        </w:rPr>
      </w:pPr>
      <w:r w:rsidRPr="00170356">
        <w:rPr>
          <w:lang w:eastAsia="en-US"/>
        </w:rPr>
        <w:t>Hva er (in)habilitet?</w:t>
      </w:r>
    </w:p>
    <w:p w14:paraId="5A046790" w14:textId="77777777" w:rsidR="007E7F41" w:rsidRPr="007E7F41" w:rsidRDefault="007E7F41" w:rsidP="007E7F41">
      <w:pPr>
        <w:pStyle w:val="Brdtekst"/>
        <w:rPr>
          <w:lang w:eastAsia="en-US"/>
        </w:rPr>
      </w:pPr>
    </w:p>
    <w:p w14:paraId="6489951E"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Inhabilitet oppstår når tjenestemannens tilknytning til saken kan svekke tilliten til hans eller hennes upartiskhet. Reglene skal sikre tillit til forvaltningens arbeid generelt og forhindre at personer som handler på forvaltningens vegne er partiske til egen eller andres fordel i en sak.</w:t>
      </w:r>
    </w:p>
    <w:p w14:paraId="0D2A79BE"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er ikke kritikkverdig å være inhabil, men det er kritikkverdig å ikke trekke seg fra behandlingen av en sak du er inhabil i.</w:t>
      </w:r>
    </w:p>
    <w:p w14:paraId="318D1955" w14:textId="674F1646" w:rsidR="00170356" w:rsidRDefault="00170356" w:rsidP="007E7F41">
      <w:pPr>
        <w:pStyle w:val="Overskrift3"/>
        <w:rPr>
          <w:lang w:eastAsia="en-US"/>
        </w:rPr>
      </w:pPr>
      <w:r w:rsidRPr="00170356">
        <w:rPr>
          <w:lang w:eastAsia="en-US"/>
        </w:rPr>
        <w:t>Hvilke deler av saksbehandlingen gjelder habilitetsbestemmelsene for?</w:t>
      </w:r>
    </w:p>
    <w:p w14:paraId="60E1AE8F" w14:textId="77777777" w:rsidR="00617FC5" w:rsidRPr="00617FC5" w:rsidRDefault="00617FC5" w:rsidP="00617FC5">
      <w:pPr>
        <w:pStyle w:val="Brdtekst"/>
        <w:rPr>
          <w:lang w:eastAsia="en-US"/>
        </w:rPr>
      </w:pPr>
    </w:p>
    <w:p w14:paraId="79E4444A" w14:textId="7D5C3D81" w:rsidR="00170356" w:rsidRDefault="00170356" w:rsidP="00617FC5">
      <w:pPr>
        <w:pStyle w:val="Overskrift4"/>
        <w:rPr>
          <w:rFonts w:eastAsia="Calibri"/>
          <w:lang w:eastAsia="en-US"/>
        </w:rPr>
      </w:pPr>
      <w:r w:rsidRPr="00170356">
        <w:rPr>
          <w:rFonts w:eastAsia="Calibri"/>
          <w:lang w:eastAsia="en-US"/>
        </w:rPr>
        <w:t>Innledning</w:t>
      </w:r>
    </w:p>
    <w:p w14:paraId="0DF8BE3F" w14:textId="77777777" w:rsidR="00617FC5" w:rsidRPr="00617FC5" w:rsidRDefault="00617FC5" w:rsidP="00617FC5">
      <w:pPr>
        <w:pStyle w:val="Brdtekst"/>
        <w:rPr>
          <w:rFonts w:eastAsia="Calibri"/>
          <w:lang w:eastAsia="en-US"/>
        </w:rPr>
      </w:pPr>
    </w:p>
    <w:p w14:paraId="451CBD00"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Forvaltningslovens habilitetsregler gjelder for all virksomhet som drives i Kulturdirektoratet, Kulturrådet, Statens kunstnerstipend og Fond for lyd og bilde. Habilitetsreglene gjelder følgelig ikke bare saker som munner ut i et enkeltvedtak, herunder vedtak om tilskudd, men også for mer overordnede beslutninger av strategisk karakter. Reglene gjelder videre ikke bare når det fattes endelig vedtak i saken, men også under saksforberedelsen. </w:t>
      </w:r>
    </w:p>
    <w:p w14:paraId="7A8B750D" w14:textId="5F6E03C0" w:rsidR="00170356" w:rsidRDefault="00170356" w:rsidP="00617FC5">
      <w:pPr>
        <w:pStyle w:val="Overskrift4"/>
        <w:rPr>
          <w:rFonts w:eastAsia="Calibri"/>
          <w:lang w:eastAsia="en-US"/>
        </w:rPr>
      </w:pPr>
      <w:r w:rsidRPr="00170356">
        <w:rPr>
          <w:rFonts w:eastAsia="Calibri"/>
          <w:lang w:eastAsia="en-US"/>
        </w:rPr>
        <w:t>Strategiske beslutninger og enkeltvedtak</w:t>
      </w:r>
    </w:p>
    <w:p w14:paraId="0DE5DD51" w14:textId="77777777" w:rsidR="00617FC5" w:rsidRPr="00617FC5" w:rsidRDefault="00617FC5" w:rsidP="00617FC5">
      <w:pPr>
        <w:pStyle w:val="Brdtekst"/>
        <w:rPr>
          <w:rFonts w:eastAsia="Calibri"/>
          <w:lang w:eastAsia="en-US"/>
        </w:rPr>
      </w:pPr>
    </w:p>
    <w:p w14:paraId="53165B93"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Virksomheten i Kulturdirektoratet, Kulturrådet, Statens kunstnerstipend og Fond for lyd og bilde består i hovedsak av å treffe to ulike former for beslutninger – beslutninger om å innvilge eller avslå søknader om støtte fra bestemte søkere, og beslutninger av mer strategisk art. Eksempler på det siste er budsjettbeslutninger om å opprette bestemte tilskuddsordninger eller å prioritere enkelte kunstarter, samt de tilrådninger og uttalelser som </w:t>
      </w:r>
      <w:proofErr w:type="gramStart"/>
      <w:r w:rsidRPr="00170356">
        <w:rPr>
          <w:rFonts w:eastAsia="Calibri"/>
          <w:sz w:val="22"/>
          <w:szCs w:val="22"/>
          <w:lang w:eastAsia="en-US"/>
          <w14:ligatures w14:val="standardContextual"/>
        </w:rPr>
        <w:t>avgis</w:t>
      </w:r>
      <w:proofErr w:type="gramEnd"/>
      <w:r w:rsidRPr="00170356">
        <w:rPr>
          <w:rFonts w:eastAsia="Calibri"/>
          <w:sz w:val="22"/>
          <w:szCs w:val="22"/>
          <w:lang w:eastAsia="en-US"/>
          <w14:ligatures w14:val="standardContextual"/>
        </w:rPr>
        <w:t xml:space="preserve"> i egenskap av å være rådgivende organer for Kultur- og likestillingsdepartementet.</w:t>
      </w:r>
    </w:p>
    <w:p w14:paraId="1BC3E6F4"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Når det treffes en beslutning om å innvilge eller å avslå en bestemt søknad, står vi overfor et enkeltvedtak i forvaltningslovens forstand. En slik beslutning har direkte betydning for én eller flere bestemte parter. Strategiske beslutninger retter seg derimot ikke mot bestemte adressater, og vil som hovedregel bare få en indirekte virkning for enkeltsøkere.</w:t>
      </w:r>
    </w:p>
    <w:p w14:paraId="457FDC3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lastRenderedPageBreak/>
        <w:t>Som nevnt i punkt 2.2.1 foran, gjelder habilitetsreglene for begge sakstyper. Spørsmålet om automatisk inhabilitet vil imidlertid sjelden oppstå i saker som gjelder mer strategiske beslutninger, der det som regel ikke er noen “part” i saken. Videre skal det mer til før inhabilitet inntrer når det fattes slike beslutninger enn når det fattes enkeltvedtak.</w:t>
      </w:r>
    </w:p>
    <w:p w14:paraId="5530A91C"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Tilknytning til et fagmiljø, eller til en bestemt institusjon, vil for eksempel som hovedregel ikke medføre inhabilitet i beslutninger av strategisk art. Dette gjelder selv om saken skulle dreie seg om prioritering mellom ulike kunstarter eller annet og tjenestemannen representerer én av flere motstridende interesser. Det må på dette området særlig ses hen til at tjenestemannen ofte er valgt for denne oppgaven nettopp på grunn av sin faglige bakgrunn og tilknytning for å tilføre ønsket kompetanse og erfaring på det aktuelle området.</w:t>
      </w:r>
    </w:p>
    <w:p w14:paraId="46D483A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Utgangspunktet er at det kun er i situasjoner der det foreligger en klar eller rimelig sannsynlig mulighet for at en strategisk beslutning vil få konkret betydning for tjenestemannen selv eller en person eller virksomhet han eller hun har særskilt tilknytning til, at det kan oppstå spørsmål om inhabilitet ved strategiske beslutninger. Et eksempel kan være at det på beslutningstidspunktet er klart at tjenestemannen vil komme i en partsposisjon i nær fremtid dersom den aktuelle strategiske beslutningen fattes, og/eller der beslutningen har klar og direkte betydning for tjenestemannens mulighet for å få innvilget støtte på et senere tidspunkt.</w:t>
      </w:r>
    </w:p>
    <w:p w14:paraId="61CC118F" w14:textId="0FB55EDD" w:rsidR="00170356" w:rsidRDefault="00170356" w:rsidP="0048129C">
      <w:pPr>
        <w:pStyle w:val="Overskrift4"/>
        <w:rPr>
          <w:rFonts w:eastAsia="Calibri"/>
          <w:lang w:eastAsia="en-US"/>
        </w:rPr>
      </w:pPr>
      <w:r w:rsidRPr="00170356">
        <w:rPr>
          <w:rFonts w:eastAsia="Calibri"/>
          <w:lang w:eastAsia="en-US"/>
        </w:rPr>
        <w:t>Forberedelse og avgjørelse</w:t>
      </w:r>
    </w:p>
    <w:p w14:paraId="073BAD70" w14:textId="77777777" w:rsidR="0048129C" w:rsidRPr="0048129C" w:rsidRDefault="0048129C" w:rsidP="0048129C">
      <w:pPr>
        <w:pStyle w:val="Brdtekst"/>
        <w:rPr>
          <w:rFonts w:eastAsia="Calibri"/>
          <w:lang w:eastAsia="en-US"/>
        </w:rPr>
      </w:pPr>
    </w:p>
    <w:p w14:paraId="6CCA7E01"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En tjenestemann som anses inhabil, er ikke bare avskåret fra å fatte endelig vedtak, men fra å treffe “avgjørelser” så vel som å “tilrettelegge grunnlaget for avgjørelser” i saken. Det betyr at en tjenestemann som er inhabil, skal fratre fra alle ledd i behandlingen av for eksempel en søknad, og ikke bare fra selve beslutningen om å innvilge eller avslå søknaden. Det samme gjelder etter omstendighetene eventuelle konkurrerende søknader i samme sak, se nærmere om dette i punkt 5 nedenfor.</w:t>
      </w:r>
    </w:p>
    <w:p w14:paraId="2F50CB26" w14:textId="31044AC4" w:rsidR="00170356" w:rsidRDefault="00170356" w:rsidP="0048129C">
      <w:pPr>
        <w:pStyle w:val="Overskrift2"/>
        <w:rPr>
          <w:rFonts w:eastAsia="Calibri"/>
          <w:lang w:eastAsia="en-US"/>
        </w:rPr>
      </w:pPr>
      <w:r w:rsidRPr="00170356">
        <w:rPr>
          <w:rFonts w:eastAsia="Calibri"/>
          <w:lang w:eastAsia="en-US"/>
        </w:rPr>
        <w:t>Automatisk inhabilitet</w:t>
      </w:r>
    </w:p>
    <w:p w14:paraId="1A1D8F35" w14:textId="77777777" w:rsidR="0048129C" w:rsidRPr="0048129C" w:rsidRDefault="0048129C" w:rsidP="0048129C">
      <w:pPr>
        <w:pStyle w:val="Brdtekst"/>
        <w:rPr>
          <w:rFonts w:eastAsia="Calibri"/>
          <w:lang w:eastAsia="en-US"/>
        </w:rPr>
      </w:pPr>
    </w:p>
    <w:p w14:paraId="498E421A" w14:textId="77777777" w:rsidR="00170356" w:rsidRPr="00170356" w:rsidRDefault="00170356" w:rsidP="00170356">
      <w:pPr>
        <w:spacing w:after="240" w:line="276" w:lineRule="auto"/>
        <w:rPr>
          <w:rFonts w:eastAsia="Calibri"/>
          <w:b/>
          <w:sz w:val="22"/>
          <w:szCs w:val="22"/>
          <w:lang w:eastAsia="en-US"/>
          <w14:ligatures w14:val="standardContextual"/>
        </w:rPr>
      </w:pPr>
      <w:r w:rsidRPr="00170356">
        <w:rPr>
          <w:rFonts w:eastAsia="Calibri"/>
          <w:sz w:val="22"/>
          <w:szCs w:val="22"/>
          <w:lang w:eastAsia="en-US"/>
          <w14:ligatures w14:val="standardContextual"/>
        </w:rPr>
        <w:t xml:space="preserve">Reglene om automatisk inhabilitet gjelder absolutt. Dersom en tjenestemann selv er part i en sak, for eksempel fordi vedkommende har en søknad til vurdering, er tjenestemannen inhabil. Det samme gjelder hvis det foreligger andre forhold som </w:t>
      </w:r>
      <w:proofErr w:type="gramStart"/>
      <w:r w:rsidRPr="00170356">
        <w:rPr>
          <w:rFonts w:eastAsia="Calibri"/>
          <w:sz w:val="22"/>
          <w:szCs w:val="22"/>
          <w:lang w:eastAsia="en-US"/>
          <w14:ligatures w14:val="standardContextual"/>
        </w:rPr>
        <w:t>fremgår</w:t>
      </w:r>
      <w:proofErr w:type="gramEnd"/>
      <w:r w:rsidRPr="00170356">
        <w:rPr>
          <w:rFonts w:eastAsia="Calibri"/>
          <w:sz w:val="22"/>
          <w:szCs w:val="22"/>
          <w:lang w:eastAsia="en-US"/>
          <w14:ligatures w14:val="standardContextual"/>
        </w:rPr>
        <w:t xml:space="preserve"> av regelverkets punkt 1. I slike tilfeller skal det ikke foretas noen nærmere vurdering før tjenestemannen fratrer fra behandlingen av saken. </w:t>
      </w:r>
    </w:p>
    <w:p w14:paraId="718ABC5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Spørsmålet om det foreligger automatisk inhabilitet reiser, i motsetning til spørsmålet om det foreligger inhabilitet etter skjønn, sjelden vanskelige vurderingstema.</w:t>
      </w:r>
    </w:p>
    <w:p w14:paraId="7268D1E3" w14:textId="59AC8099" w:rsidR="00170356" w:rsidRDefault="00170356" w:rsidP="0048129C">
      <w:pPr>
        <w:pStyle w:val="Overskrift2"/>
        <w:rPr>
          <w:rFonts w:eastAsia="Calibri"/>
          <w:lang w:eastAsia="en-US"/>
        </w:rPr>
      </w:pPr>
      <w:r w:rsidRPr="00170356">
        <w:rPr>
          <w:rFonts w:eastAsia="Calibri"/>
          <w:lang w:eastAsia="en-US"/>
        </w:rPr>
        <w:t>Nærmere om inhabilitet etter skjønn</w:t>
      </w:r>
    </w:p>
    <w:p w14:paraId="0A548360" w14:textId="77777777" w:rsidR="0048129C" w:rsidRPr="0048129C" w:rsidRDefault="0048129C" w:rsidP="0048129C">
      <w:pPr>
        <w:pStyle w:val="Brdtekst"/>
        <w:rPr>
          <w:rFonts w:eastAsia="Calibri"/>
          <w:lang w:eastAsia="en-US"/>
        </w:rPr>
      </w:pPr>
    </w:p>
    <w:p w14:paraId="3A48E1C8" w14:textId="117DE6CC" w:rsidR="00170356" w:rsidRDefault="00170356" w:rsidP="0048129C">
      <w:pPr>
        <w:pStyle w:val="Overskrift3"/>
        <w:rPr>
          <w:rFonts w:eastAsia="Calibri"/>
          <w:lang w:eastAsia="en-US"/>
        </w:rPr>
      </w:pPr>
      <w:r w:rsidRPr="00170356">
        <w:rPr>
          <w:rFonts w:eastAsia="Calibri"/>
          <w:lang w:eastAsia="en-US"/>
        </w:rPr>
        <w:t>Det overordnete vurderingstemaet</w:t>
      </w:r>
    </w:p>
    <w:p w14:paraId="311C9802" w14:textId="77777777" w:rsidR="0048129C" w:rsidRPr="0048129C" w:rsidRDefault="0048129C" w:rsidP="0048129C">
      <w:pPr>
        <w:pStyle w:val="Brdtekst"/>
        <w:rPr>
          <w:rFonts w:eastAsia="Calibri"/>
          <w:lang w:eastAsia="en-US"/>
        </w:rPr>
      </w:pPr>
    </w:p>
    <w:p w14:paraId="190A9A4A"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Når det skal vurderes om det foreligger habilitet etter skjønn, er det avgjørende vurderingstemaet om det foreligger særegne forhold som er egnet til å svekke tilliten til tjenestemannens upartiskhet. I denne vurderingen skal det blant annet skal legges vekt på om avgjørelsen i saken kan innebære særlig fordel, tap eller ulempe for ham eller henne selv eller noen som vedkommende har nær personlig tilknytning til. </w:t>
      </w:r>
    </w:p>
    <w:p w14:paraId="46CDBA2F"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Vurderingen må foretas konkret, og som retningslinje kan det være hensiktsmessig å oppstille to spørsmål – nemlig om det foreligger særlige forhold som kan antas å svekke tjenestemannens objektive tilnærming til saken, eller, om det i alle fall kan se slik ut for omverdenen.</w:t>
      </w:r>
    </w:p>
    <w:p w14:paraId="5D6C8AD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lastRenderedPageBreak/>
        <w:t>Kulturdirektoratet, Kulturrådet, Statens kunstnerstipend og Fond for lyd og bilde tildeler store beløp hvert år, og det er betydelig konkurranse om midlene. Ikke bare den enkelte søker, men også samfunnet som sådan, har en legitim interesse i at midlene tildeles på saklig grunnlag, og det må forventes at alle tildelinger vil ha omverdenens interesse i så henseende. Man må likevel søke å finne en balanse mellom hensynet til tilliten til saksbehandlingen, og hensynet til kompetente beslutningstakere. Det skal derfor understrekes at det først er i de tilfeller det foreligger særlige forhold, at det vil kunne foreligge inhabilitet.</w:t>
      </w:r>
    </w:p>
    <w:p w14:paraId="28175E48" w14:textId="77777777" w:rsidR="00170356" w:rsidRPr="00170356" w:rsidRDefault="00170356" w:rsidP="00170356">
      <w:pPr>
        <w:spacing w:after="240" w:line="276" w:lineRule="auto"/>
        <w:rPr>
          <w:rFonts w:eastAsia="Calibri"/>
          <w:b/>
          <w:bCs/>
          <w:sz w:val="22"/>
          <w:szCs w:val="22"/>
          <w:lang w:eastAsia="en-US"/>
          <w14:ligatures w14:val="standardContextual"/>
        </w:rPr>
      </w:pPr>
      <w:r w:rsidRPr="00170356">
        <w:rPr>
          <w:rFonts w:eastAsia="Calibri"/>
          <w:sz w:val="22"/>
          <w:szCs w:val="22"/>
          <w:lang w:eastAsia="en-US"/>
          <w14:ligatures w14:val="standardContextual"/>
        </w:rPr>
        <w:t>Den skjønnsmessige bestemmelsen må ses i sammenheng med bestemmelsene om automatisk inhabilitet. Foreligger det liknende grunner til inhabilitet som nevnt i bestemmelsen om automatisk habilitet, for eksempel et ansettelsesforhold uten at dette er i ledelsen til virksomheten som søker, eller annet slektskap enn det som medfører automatisk inhabilitet, må det foreligge særlige omstendigheter før inhabilitet inntreffer.</w:t>
      </w:r>
    </w:p>
    <w:p w14:paraId="7D46ABB5" w14:textId="67183DA7" w:rsidR="00E354EB" w:rsidRPr="00EB2062" w:rsidRDefault="00170356" w:rsidP="00EB2062">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Nedenfor gjennomgås enkelte situasjoner som vil kunne være å anse som slike særlige forhold. Det er imidlertid viktig å påpeke at opplistingen ikke må anses uttømmende, og at habilitetsvurderingen må foretas konkret i den enkelte sak. Dersom flere slike forhold som nevnes under gjør seg gjeldende i en og samme sak, kan dette styrke presumpsjonen for at det foreligger inhabilitet.</w:t>
      </w:r>
    </w:p>
    <w:p w14:paraId="2F1951E4" w14:textId="66A5EE32" w:rsidR="00170356" w:rsidRDefault="00170356" w:rsidP="00EB2062">
      <w:pPr>
        <w:pStyle w:val="Overskrift3"/>
        <w:rPr>
          <w:rFonts w:eastAsia="Calibri"/>
          <w:lang w:eastAsia="en-US"/>
        </w:rPr>
      </w:pPr>
      <w:r w:rsidRPr="00170356">
        <w:rPr>
          <w:rFonts w:eastAsia="Calibri"/>
          <w:lang w:eastAsia="en-US"/>
        </w:rPr>
        <w:t>Nært vennskap</w:t>
      </w:r>
    </w:p>
    <w:p w14:paraId="24B7C8EC" w14:textId="77777777" w:rsidR="00E354EB" w:rsidRPr="00E354EB" w:rsidRDefault="00E354EB" w:rsidP="00E354EB">
      <w:pPr>
        <w:pStyle w:val="Brdtekst"/>
        <w:rPr>
          <w:rFonts w:eastAsia="Calibri"/>
          <w:lang w:eastAsia="en-US"/>
        </w:rPr>
      </w:pPr>
    </w:p>
    <w:p w14:paraId="796768BF"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Dersom det foreligger nært vennskap mellom en søker på den ene siden og en tjenestemann på den annen side, vil dette utgjøre en slik særlig omstendighet som kan være egnet til å svekke tilliten til saksbehandlerens eller beslutningstakerens upartiskhet.</w:t>
      </w:r>
    </w:p>
    <w:p w14:paraId="0F2A6E30"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 er imidlertid ikke nok at personene det gjelder kjenner hverandre eller er del av samme miljø. Det må foreligge nært vennskap. Vurderingen må gjøres konkret, og relevante momenter vil eksempelvis være hvor ofte partene omgås og hvor fortrolige de er. Om partene for eksempel er hverandres forlovere eller er fadder for hverandres barn, taler dette for at det foreligger nært vennskap som vil medføre inhabilitet. </w:t>
      </w:r>
    </w:p>
    <w:p w14:paraId="69D1D238" w14:textId="470E2E03" w:rsidR="00170356" w:rsidRDefault="00170356" w:rsidP="00EB2062">
      <w:pPr>
        <w:pStyle w:val="Overskrift3"/>
        <w:rPr>
          <w:rFonts w:eastAsia="Calibri"/>
          <w:lang w:eastAsia="en-US"/>
        </w:rPr>
      </w:pPr>
      <w:r w:rsidRPr="00170356">
        <w:rPr>
          <w:rFonts w:eastAsia="Calibri"/>
          <w:lang w:eastAsia="en-US"/>
        </w:rPr>
        <w:t>Nært faglig samarbeid</w:t>
      </w:r>
    </w:p>
    <w:p w14:paraId="7CF4EFAA" w14:textId="77777777" w:rsidR="00E354EB" w:rsidRPr="00E354EB" w:rsidRDefault="00E354EB" w:rsidP="00E354EB">
      <w:pPr>
        <w:pStyle w:val="Brdtekst"/>
        <w:rPr>
          <w:rFonts w:eastAsia="Calibri"/>
          <w:lang w:eastAsia="en-US"/>
        </w:rPr>
      </w:pPr>
    </w:p>
    <w:p w14:paraId="317AA3AF"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Også nært faglig samarbeid mellom en søker på den ene siden og en tjenestemann på den annen side, kan utgjøre et slikt særlig forhold som er egnet til å svekke tilliten til tjenestemannens upartiskhet.</w:t>
      </w:r>
    </w:p>
    <w:p w14:paraId="48E63549"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Ved vurderingen av faglig samarbeid vil omfanget av partenes samarbeid og nærheten i tid kunne være relevante forhold. Det forhold at en søker og en tjenestemann tidligere har samarbeidet om prosjekter </w:t>
      </w:r>
      <w:proofErr w:type="spellStart"/>
      <w:r w:rsidRPr="00170356">
        <w:rPr>
          <w:rFonts w:eastAsia="Calibri"/>
          <w:sz w:val="22"/>
          <w:szCs w:val="22"/>
          <w:lang w:eastAsia="en-US"/>
          <w14:ligatures w14:val="standardContextual"/>
        </w:rPr>
        <w:t>m.v</w:t>
      </w:r>
      <w:proofErr w:type="spellEnd"/>
      <w:r w:rsidRPr="00170356">
        <w:rPr>
          <w:rFonts w:eastAsia="Calibri"/>
          <w:sz w:val="22"/>
          <w:szCs w:val="22"/>
          <w:lang w:eastAsia="en-US"/>
          <w14:ligatures w14:val="standardContextual"/>
        </w:rPr>
        <w:t>., innebærer imidlertid ikke i seg inhabilitet. Det må i utgangspunktet noe mer til.</w:t>
      </w:r>
    </w:p>
    <w:p w14:paraId="4296FAA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vil imidlertid kunne foreligge inhabilitet dersom en bevilgning til en søker også vil kunne innebære en fordel for tjenestemannen. En kan for eksempel tenke seg at det er tale om parter som ofte samarbeider med hverandre, og der pengestøtte til søkeren senere vil kunne komme tjenestemannen til gode, eksempelvis gjennom en senere plass i prosjektet, eller ved at vedkommende senere kan nyte godt av innkjøpte produksjonsmidler eller annet som finansieres gjennom støtten som vedkommende er med på å bevilge.</w:t>
      </w:r>
    </w:p>
    <w:p w14:paraId="351A96EF" w14:textId="409507D4" w:rsidR="00170356" w:rsidRDefault="00170356" w:rsidP="00EB2062">
      <w:pPr>
        <w:pStyle w:val="Overskrift3"/>
        <w:rPr>
          <w:rFonts w:eastAsia="Calibri"/>
          <w:lang w:eastAsia="en-US"/>
        </w:rPr>
      </w:pPr>
      <w:r w:rsidRPr="00170356">
        <w:rPr>
          <w:rFonts w:eastAsia="Calibri"/>
          <w:lang w:eastAsia="en-US"/>
        </w:rPr>
        <w:t>Personlig eller faglig motsetningsforhold</w:t>
      </w:r>
    </w:p>
    <w:p w14:paraId="0304C906" w14:textId="77777777" w:rsidR="00E354EB" w:rsidRPr="00E354EB" w:rsidRDefault="00E354EB" w:rsidP="00E354EB">
      <w:pPr>
        <w:pStyle w:val="Brdtekst"/>
        <w:rPr>
          <w:rFonts w:eastAsia="Calibri"/>
          <w:lang w:eastAsia="en-US"/>
        </w:rPr>
      </w:pPr>
    </w:p>
    <w:p w14:paraId="581D267D"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Personlig eller faglig motsetningsforhold kan også utgjøre et slikt særlig forhold som kan svekke tilliten til en persons upartiskhet. Det må imidlertid dreie seg om mer enn meningsmotsetninger, snarere må det dreie seg om et klart og uttalt motsetningsforhold. Et eksempel kan være et tilfelle der søker, og tjenestemannen har ligget i </w:t>
      </w:r>
      <w:r w:rsidRPr="00170356">
        <w:rPr>
          <w:rFonts w:eastAsia="Calibri"/>
          <w:sz w:val="22"/>
          <w:szCs w:val="22"/>
          <w:lang w:eastAsia="en-US"/>
          <w14:ligatures w14:val="standardContextual"/>
        </w:rPr>
        <w:lastRenderedPageBreak/>
        <w:t>langvarige diskusjoner med hverandre i offentlige medier og da særlig hvis diskusjonene også har fått et mer personlig preg.</w:t>
      </w:r>
    </w:p>
    <w:p w14:paraId="715A772D" w14:textId="212AA903" w:rsidR="00170356" w:rsidRDefault="00170356" w:rsidP="00EB2062">
      <w:pPr>
        <w:pStyle w:val="Overskrift3"/>
        <w:rPr>
          <w:rFonts w:eastAsia="Calibri"/>
          <w:lang w:eastAsia="en-US"/>
        </w:rPr>
      </w:pPr>
      <w:r w:rsidRPr="00170356">
        <w:rPr>
          <w:rFonts w:eastAsia="Calibri"/>
          <w:lang w:eastAsia="en-US"/>
        </w:rPr>
        <w:t>Ansettelsesforhold og kollegahabilitet</w:t>
      </w:r>
    </w:p>
    <w:p w14:paraId="5243E115" w14:textId="77777777" w:rsidR="00E354EB" w:rsidRPr="00E354EB" w:rsidRDefault="00E354EB" w:rsidP="00E354EB">
      <w:pPr>
        <w:pStyle w:val="Brdtekst"/>
        <w:rPr>
          <w:rFonts w:eastAsia="Calibri"/>
          <w:lang w:eastAsia="en-US"/>
        </w:rPr>
      </w:pPr>
    </w:p>
    <w:p w14:paraId="369AFD8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er bare personer som har en ledende stilling i, eller er medlem av styre eller bedriftsforsamling i offentlig eller privat virksomhet, forening, stiftelse eller annet som er automatisk inhabile til å behandle saker der virksomheten er part.</w:t>
      </w:r>
    </w:p>
    <w:p w14:paraId="72FCC10A"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 kan imidlertid oppstå spørsmål om en tjenestemann er </w:t>
      </w:r>
      <w:proofErr w:type="gramStart"/>
      <w:r w:rsidRPr="00170356">
        <w:rPr>
          <w:rFonts w:eastAsia="Calibri"/>
          <w:sz w:val="22"/>
          <w:szCs w:val="22"/>
          <w:lang w:eastAsia="en-US"/>
          <w14:ligatures w14:val="standardContextual"/>
        </w:rPr>
        <w:t>inhabil</w:t>
      </w:r>
      <w:proofErr w:type="gramEnd"/>
      <w:r w:rsidRPr="00170356">
        <w:rPr>
          <w:rFonts w:eastAsia="Calibri"/>
          <w:sz w:val="22"/>
          <w:szCs w:val="22"/>
          <w:lang w:eastAsia="en-US"/>
          <w14:ligatures w14:val="standardContextual"/>
        </w:rPr>
        <w:t xml:space="preserve"> til å delta i behandlingen av en søknad der tjenestemannens arbeidsgiver eller kollega står som søker. Det kan også oppstå habilitetsspørsmål knyttet til tidligere ansettelse hos en virksomhet, forening eller annet som søker midler – eksempelvis kan det oppstå spørsmål om hvilken betydning det har at tjenestemannen tidligere har hatt en ledende stilling hos virksomheten som opptrer som søker.</w:t>
      </w:r>
    </w:p>
    <w:p w14:paraId="658681C9"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Når det gjelder betydningen av et nåværende arbeidsforhold for habilitetsvurderingen, vil spørsmålet være hvor sentral posisjon tjenestemannen har i søkerens virksomhet, samt hvilken betydning det har for tjenestemannen at en søknad fra arbeidsplassen blir innvilget. I denne vurderingen må det ses hen til hvilken befatning tjenestemannen selv har hatt med søknaden, og om en eventuell bevilgning vil ha særlig betydning for tjenestemannens arbeidssituasjon, eksempelvis om tjenestemannen er tiltenkt en sentral posisjon i et prosjekt det søkes midler til eller liknende. Videre kan det være relevant å se hen til betydningen det har for arbeidsplassens økonomi og omdømme at en søknad om støtte innvilges. Dersom en bevilgning har stor betydning for trygging av arbeidsplasser eller likende, vil dette være et forhold av vesentlig betydning i vurderingen.</w:t>
      </w:r>
    </w:p>
    <w:p w14:paraId="742DDE3F"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må antas at det i alminnelighet skal mye til før tidligere ansettelse hos en virksomhet som søker midler, medfører at en tjenestemann er inhabil til å behandle søknaden. Dersom tjenestemannen før han fratrådte var involvert i søknaden som er til behandling, kan dette imidlertid ha betydning for habilitetsvurderingen. Det samme gjelder dersom tjenestemannen hadde en sentral posisjon hos virksomheten og det har gått kort tid siden tjenestemannens arbeidsforhold opphørte. Begrunnelsen for inhabilitet er i tilfelle at tjenestemannen vil kunne anses fortsatt å identifisere seg med virksomheten som søker midler.</w:t>
      </w:r>
    </w:p>
    <w:p w14:paraId="1EB41C1D"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må også antas at det i alminnelighet skal mye til før en tjenestemann er inhabil til å delta i behandlingen av en søknad der en nåværende eller tidligere kollega står som søker. Det samme gjelder i tilfeller hvor en tjenestemann har sittet eller sitter samme styre som søker. Det relevante vurderingstema vil i utgangspunktet være om det foreligger forhold utover det faktum at søker og tjenestemannen er eller har vært kollegaer, for eksempel om det foreligger eller har foreligget et nært samarbeid eller nært vennskap mellom dem.</w:t>
      </w:r>
    </w:p>
    <w:p w14:paraId="7EA73682" w14:textId="31D2DE9F" w:rsidR="00170356" w:rsidRDefault="00170356" w:rsidP="00EB2062">
      <w:pPr>
        <w:pStyle w:val="Overskrift3"/>
        <w:rPr>
          <w:rFonts w:eastAsia="Calibri"/>
          <w:lang w:eastAsia="en-US"/>
        </w:rPr>
      </w:pPr>
      <w:r w:rsidRPr="00170356">
        <w:rPr>
          <w:rFonts w:eastAsia="Calibri"/>
          <w:lang w:eastAsia="en-US"/>
        </w:rPr>
        <w:t>Eierskap</w:t>
      </w:r>
    </w:p>
    <w:p w14:paraId="363D3FAF" w14:textId="77777777" w:rsidR="00E354EB" w:rsidRPr="00E354EB" w:rsidRDefault="00E354EB" w:rsidP="00E354EB">
      <w:pPr>
        <w:pStyle w:val="Brdtekst"/>
        <w:rPr>
          <w:rFonts w:eastAsia="Calibri"/>
          <w:lang w:eastAsia="en-US"/>
        </w:rPr>
      </w:pPr>
    </w:p>
    <w:p w14:paraId="6FE31F5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Dersom en tjenestemann er (større) eier i en virksomhet som opptrer som søker av midler, kan dette være et forhold som medfører inhabilitet. Det samme gjelder dersom en fysisk eller juridisk person tjenestemannen har en nær tilknytning til, har (større) eierskap i virksomheten som søker midler. Ved avgjørelsen av om eierskapet er av en slik størrelse at det medfører inhabilitet skal det vektlegges om avgjørelsen i saken vil kunne medføre økonomiske konsekvenser eller praktiske konsekvenser for tjenestemannen.</w:t>
      </w:r>
    </w:p>
    <w:p w14:paraId="77367890" w14:textId="24ED2CB7" w:rsidR="00170356" w:rsidRDefault="00170356" w:rsidP="00EB2062">
      <w:pPr>
        <w:pStyle w:val="Overskrift3"/>
        <w:rPr>
          <w:rFonts w:eastAsia="Calibri"/>
          <w:lang w:eastAsia="en-US"/>
        </w:rPr>
      </w:pPr>
      <w:r w:rsidRPr="00170356">
        <w:rPr>
          <w:rFonts w:eastAsia="Calibri"/>
          <w:lang w:eastAsia="en-US"/>
        </w:rPr>
        <w:t>Partstilknytning hos nærstående.</w:t>
      </w:r>
    </w:p>
    <w:p w14:paraId="5D84A476" w14:textId="77777777" w:rsidR="00E354EB" w:rsidRPr="00E354EB" w:rsidRDefault="00E354EB" w:rsidP="00E354EB">
      <w:pPr>
        <w:pStyle w:val="Brdtekst"/>
        <w:rPr>
          <w:rFonts w:eastAsia="Calibri"/>
          <w:lang w:eastAsia="en-US"/>
        </w:rPr>
      </w:pPr>
    </w:p>
    <w:p w14:paraId="7FBC276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lastRenderedPageBreak/>
        <w:t>Med begrepet “part” menes en fysisk eller juridisk person som en avgjørelse retter seg mot eller som saken ellers direkte gjelder. Den privatpersonen, virksomheten, foreningen, institusjonen eller andre som står som søker av midler, er part i saken. I enkelte tilfeller kan det oppstå spørsmål om også andre enn søker må anses som part i saken. Eksempelvis kan et prosjekt være et faglig og/eller økonomisk samarbeid mellom flere aktører eller at andre aktører er sentrale medvirkende i prosjektet. I slike tilfeller vil samarbeidsparter/medvirkende også anses som part i saken derom avgjørelsen kan få direkte betydning for dem.</w:t>
      </w:r>
    </w:p>
    <w:p w14:paraId="70411E7E"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Utenfor disse tilfellene kan det imidlertid også oppstå spørsmål om en tjenestemann har en slik tilknytning til en fysisk eller juridisk person som igjen har en slik tilknytning til den som er part i saken, at det kan inntre inhabilitet.</w:t>
      </w:r>
    </w:p>
    <w:p w14:paraId="0D3BB3E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Eksempelvis kan en tenke seg et tilfelle der en tjenestemann bevilger støtte til en institusjon der tjenestemannens ektefelle er leder. I et slikt tilfelle er ektefellen som utgangspunkt ikke part i saken, slik at det ikke vil inntre automatisk inhabilitet. Det foreligger likevel et særlig forhold som vil kunne svekke tilliten til tjenestemannens habilitet.</w:t>
      </w:r>
    </w:p>
    <w:p w14:paraId="4671363A" w14:textId="30E912FA" w:rsidR="00170356" w:rsidRDefault="00170356" w:rsidP="00EB2062">
      <w:pPr>
        <w:pStyle w:val="Overskrift2"/>
        <w:rPr>
          <w:rFonts w:eastAsia="Calibri"/>
          <w:lang w:eastAsia="en-US"/>
        </w:rPr>
      </w:pPr>
      <w:r w:rsidRPr="00170356">
        <w:rPr>
          <w:rFonts w:eastAsia="Calibri"/>
          <w:lang w:eastAsia="en-US"/>
        </w:rPr>
        <w:t>Særlig om betydningen av konkurranseforhold i habilitetsvurderingen</w:t>
      </w:r>
    </w:p>
    <w:p w14:paraId="0E10A4B6" w14:textId="77777777" w:rsidR="00EB2062" w:rsidRPr="00EB2062" w:rsidRDefault="00EB2062" w:rsidP="00EB2062">
      <w:pPr>
        <w:pStyle w:val="Brdtekst"/>
        <w:rPr>
          <w:rFonts w:eastAsia="Calibri"/>
          <w:lang w:eastAsia="en-US"/>
        </w:rPr>
      </w:pPr>
    </w:p>
    <w:p w14:paraId="003A2757"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Ved prioritering av søknader vil det ofte være langt flere søkere og/eller søknader om høyere beløp enn det de utlyste midlene rekker til. Dette har betydning for habilitetsvurderingen som skal foretas.</w:t>
      </w:r>
    </w:p>
    <w:p w14:paraId="5203E70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Forvaltningsloven fastsetter at den som anses som inhabil, er inhabil til å forberede og fatte avgjørelse </w:t>
      </w:r>
      <w:proofErr w:type="gramStart"/>
      <w:r w:rsidRPr="00170356">
        <w:rPr>
          <w:rFonts w:eastAsia="Calibri"/>
          <w:sz w:val="22"/>
          <w:szCs w:val="22"/>
          <w:lang w:eastAsia="en-US"/>
          <w14:ligatures w14:val="standardContextual"/>
        </w:rPr>
        <w:t>i ”saken</w:t>
      </w:r>
      <w:proofErr w:type="gramEnd"/>
      <w:r w:rsidRPr="00170356">
        <w:rPr>
          <w:rFonts w:eastAsia="Calibri"/>
          <w:sz w:val="22"/>
          <w:szCs w:val="22"/>
          <w:lang w:eastAsia="en-US"/>
          <w14:ligatures w14:val="standardContextual"/>
        </w:rPr>
        <w:t xml:space="preserve">”. I tilfeller der det foreligger et direkte konkurranseforhold mellom ulike søkere, slik at en søker bare kan få plass på bekostning av en annen, vil samtlige søknader i utgangspunktet anses som del av én og samme forvaltningssak. Det innebærer at en person som er inhabil i forhold til en søknad, også vil være inhabil til å vurdere andre søknader som konkurrerer om </w:t>
      </w:r>
      <w:proofErr w:type="gramStart"/>
      <w:r w:rsidRPr="00170356">
        <w:rPr>
          <w:rFonts w:eastAsia="Calibri"/>
          <w:sz w:val="22"/>
          <w:szCs w:val="22"/>
          <w:lang w:eastAsia="en-US"/>
          <w14:ligatures w14:val="standardContextual"/>
        </w:rPr>
        <w:t>samme ”pott</w:t>
      </w:r>
      <w:proofErr w:type="gramEnd"/>
      <w:r w:rsidRPr="00170356">
        <w:rPr>
          <w:rFonts w:eastAsia="Calibri"/>
          <w:sz w:val="22"/>
          <w:szCs w:val="22"/>
          <w:lang w:eastAsia="en-US"/>
          <w14:ligatures w14:val="standardContextual"/>
        </w:rPr>
        <w:t>”. Begrunnelsen er at en tjenestemann som er inhabil til å behandle én søknad, for eksempel en søknad fra sin ektefelle, i alle fall prinsipielt vil kunne ha insentiver til å nedvurdere andre søknader, for å øke sjansen for at nettopp ektefellens søknad når frem i konkurransen.</w:t>
      </w:r>
    </w:p>
    <w:p w14:paraId="7AC3011C"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I utgangspunktet vil et konkurranseforhold oppstå i alle tilfeller hvor innvilgelse av en søknad vil redusere eller fortrenge bevilgninger til én eller flere andre søknader. Dette vil i prinsippet være tilfellet innenfor hver utlysning av midler til et nærmere angitt formål/innenfor et nærmere angitt område, slik at alle søknader til midlene innenfor en slik utlysning anses som del av samme sak.</w:t>
      </w:r>
    </w:p>
    <w:p w14:paraId="260E8A4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For å søke å begrense de praktiske problemer som dette vil kunne medføre for behandlingene av søknadene, kan det være hensiktsmessig å dele </w:t>
      </w:r>
      <w:proofErr w:type="gramStart"/>
      <w:r w:rsidRPr="00170356">
        <w:rPr>
          <w:rFonts w:eastAsia="Calibri"/>
          <w:sz w:val="22"/>
          <w:szCs w:val="22"/>
          <w:lang w:eastAsia="en-US"/>
          <w14:ligatures w14:val="standardContextual"/>
        </w:rPr>
        <w:t>opp ”potten</w:t>
      </w:r>
      <w:proofErr w:type="gramEnd"/>
      <w:r w:rsidRPr="00170356">
        <w:rPr>
          <w:rFonts w:eastAsia="Calibri"/>
          <w:sz w:val="22"/>
          <w:szCs w:val="22"/>
          <w:lang w:eastAsia="en-US"/>
          <w14:ligatures w14:val="standardContextual"/>
        </w:rPr>
        <w:t>” innenfor en og samme utlysning til ulike formål, slik at det konkurreres om definerte deler av den. I så fall vil utgangspunktet være at kun de som konkurrerer om samme del av potten, vil være å betrakte som parter (konkurrenter) i samme sak.</w:t>
      </w:r>
    </w:p>
    <w:p w14:paraId="16DBB06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Selv om det foretas en oppdeling som nevnt i forrige avsnitt, vil det likevel kunne foreligge et så vidt stort antall søkere at det medfører betydelige praktiske utfordringer å anse en person som er inhabil i forhold til en søker, som inhabil til å vurdere samtlige øvrige søknader.</w:t>
      </w:r>
    </w:p>
    <w:p w14:paraId="050BBE8F"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 forhold at det bare vil dreie seg om samme sak der to eller flere søknader står i et direkte konkurranseforhold til hverandre, tilsier imidlertid at det går en grense for hvor langt det er naturlig å strekke </w:t>
      </w:r>
      <w:proofErr w:type="spellStart"/>
      <w:r w:rsidRPr="00170356">
        <w:rPr>
          <w:rFonts w:eastAsia="Calibri"/>
          <w:sz w:val="22"/>
          <w:szCs w:val="22"/>
          <w:lang w:eastAsia="en-US"/>
          <w14:ligatures w14:val="standardContextual"/>
        </w:rPr>
        <w:t>saksbegrepet</w:t>
      </w:r>
      <w:proofErr w:type="spellEnd"/>
      <w:r w:rsidRPr="00170356">
        <w:rPr>
          <w:rFonts w:eastAsia="Calibri"/>
          <w:sz w:val="22"/>
          <w:szCs w:val="22"/>
          <w:lang w:eastAsia="en-US"/>
          <w14:ligatures w14:val="standardContextual"/>
        </w:rPr>
        <w:t xml:space="preserve">. En slik tilnærming er i samsvar med hensynet bak habilitetsreglene: Det er først når en inhabil tjenestemann gjennom avslag på øvrige søknader har en viss mulighet til å påvirke utfallet av den søknaden som vedkommende er inhabil til å vurdere, at det foreligger slike omstendigheter som kan svekke tilliten til </w:t>
      </w:r>
      <w:r w:rsidRPr="00170356">
        <w:rPr>
          <w:rFonts w:eastAsia="Calibri"/>
          <w:sz w:val="22"/>
          <w:szCs w:val="22"/>
          <w:lang w:eastAsia="en-US"/>
          <w14:ligatures w14:val="standardContextual"/>
        </w:rPr>
        <w:lastRenderedPageBreak/>
        <w:t>saksbehandlingen. Dette vil være tilfellet dersom det er få søkere til én og samme pott, mens tjenestemannens innvirkning på tildelingsbeslutningene vil minske i styrke jo flere søkere som konkurrerer om de samme midlene, og jo mindre søknadsbeløpene er i forhold til den totale potten.</w:t>
      </w:r>
    </w:p>
    <w:p w14:paraId="2E9A2494"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 er vanskelig å angi eksakt når flere søknader står i et så nært og direkte konkurranseforhold til hverandre at de må anses som del av samme sak, og når det er tilstrekkelig mange søknader til at de ikke må anses å utgjøre del av samme sak i forvaltningslovens forstand. Dette må vurderes konkret i det enkelte tilfellet, hvor også størrelsen </w:t>
      </w:r>
      <w:proofErr w:type="gramStart"/>
      <w:r w:rsidRPr="00170356">
        <w:rPr>
          <w:rFonts w:eastAsia="Calibri"/>
          <w:sz w:val="22"/>
          <w:szCs w:val="22"/>
          <w:lang w:eastAsia="en-US"/>
          <w14:ligatures w14:val="standardContextual"/>
        </w:rPr>
        <w:t>på ”potten</w:t>
      </w:r>
      <w:proofErr w:type="gramEnd"/>
      <w:r w:rsidRPr="00170356">
        <w:rPr>
          <w:rFonts w:eastAsia="Calibri"/>
          <w:sz w:val="22"/>
          <w:szCs w:val="22"/>
          <w:lang w:eastAsia="en-US"/>
          <w14:ligatures w14:val="standardContextual"/>
        </w:rPr>
        <w:t>” i forhold til størrelsen på de enkelte søknadene vil være av betydning. Som retningslinje vil det trolig som utgangspunkt kunne legges til grunn at dersom antall søkere er flere enn 20, vil antallet være så stort at det ikke er naturlig å anse de enkelte søkerne Side 10 som part i samme sak. Det understrekes imidlertid at dette kun er en praktisk retningslinje, og at det må foretas en konkret vurdering fra sak til sak.</w:t>
      </w:r>
    </w:p>
    <w:p w14:paraId="6A7A172E"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Det vil også kunne </w:t>
      </w:r>
      <w:proofErr w:type="gramStart"/>
      <w:r w:rsidRPr="00170356">
        <w:rPr>
          <w:rFonts w:eastAsia="Calibri"/>
          <w:sz w:val="22"/>
          <w:szCs w:val="22"/>
          <w:lang w:eastAsia="en-US"/>
          <w14:ligatures w14:val="standardContextual"/>
        </w:rPr>
        <w:t>foreligge ”konkurranseinhabilitet</w:t>
      </w:r>
      <w:proofErr w:type="gramEnd"/>
      <w:r w:rsidRPr="00170356">
        <w:rPr>
          <w:rFonts w:eastAsia="Calibri"/>
          <w:sz w:val="22"/>
          <w:szCs w:val="22"/>
          <w:lang w:eastAsia="en-US"/>
          <w14:ligatures w14:val="standardContextual"/>
        </w:rPr>
        <w:t>” utenfor tilfeller der man står overfor konkurranse i en og samme sak. Det er for eksempel ikke gitt at lederen for én musikkfestival uten videre kan delta ved behandlingen av en søknad om støtte fra en annen musikkfestival, selv om tjenestemannens egen musikkfestival ikke selv søker midler ved utlysningen. Spørsmålet om habilitet vil i et slikt tilfelle bero på hvor direkte konkurranseforholdet mellom søkeren og tjenestemannen er. I denne vurderingen bør det ses hen til forhold ved det området det konkurreres på, hvilken tilknytning tjenestemannen har til virksomheten som står i konkurranse med søker, og hvilke konsekvenser det på noe sikt kan få for tjenestemannen om søknaden fra den andre musikkfestivalen innvilges (for eksempel at det blir færre midler til fordeling på et senere tidspunkt).</w:t>
      </w:r>
    </w:p>
    <w:p w14:paraId="68D8429C" w14:textId="773D428D" w:rsidR="00170356" w:rsidRDefault="00170356" w:rsidP="00B056CF">
      <w:pPr>
        <w:pStyle w:val="Overskrift2"/>
        <w:rPr>
          <w:rFonts w:eastAsia="Calibri"/>
          <w:lang w:eastAsia="en-US"/>
        </w:rPr>
      </w:pPr>
      <w:r w:rsidRPr="00170356">
        <w:rPr>
          <w:rFonts w:eastAsia="Calibri"/>
          <w:lang w:eastAsia="en-US"/>
        </w:rPr>
        <w:t>Underordnetes habilitet ved inhabilitet hos overordnet</w:t>
      </w:r>
    </w:p>
    <w:p w14:paraId="1DEB90E5" w14:textId="77777777" w:rsidR="00B056CF" w:rsidRPr="00B056CF" w:rsidRDefault="00B056CF" w:rsidP="00B056CF">
      <w:pPr>
        <w:pStyle w:val="Brdtekst"/>
        <w:rPr>
          <w:rFonts w:eastAsia="Calibri"/>
          <w:lang w:eastAsia="en-US"/>
        </w:rPr>
      </w:pPr>
    </w:p>
    <w:p w14:paraId="4B80410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Dersom en tjenestemann er inhabil, kan heller ikke en underordnet treffe avgjørelser i saken. Formålet med bestemmelsen er å unngå å svekke tilliten til en avgjørelse som følge av at en underordnet kan ha latt seg styre av den overordnedes inhabilitet i sin saksbehandling.</w:t>
      </w:r>
    </w:p>
    <w:p w14:paraId="124B61A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Inhabilitet etter denne bestemmelsen har, i motsetning til de øvrige reglene om inhabilitet, bare den virkning at den underordnede ikke kan treffe avgjørelser i saken. En underordnet kan dermed fortsatt forberede grunnlaget for slike avgjørelser. </w:t>
      </w:r>
    </w:p>
    <w:p w14:paraId="70EE9278"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Begrepet "avgjørelse" omfatter mer enn bare å fatte et endelig vedtak; det inkluderer også beslutninger som er av reell og vesentlig betydning for saken. Dette betyr at en tjenestemann ikke bare er avskåret fra å innvilge eller avslå en søknad, men også fra å avvise søknaden og/eller utføre kontroll- og tilsynsoppgaver.</w:t>
      </w:r>
    </w:p>
    <w:p w14:paraId="0B75EC06"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 xml:space="preserve">Andre beslutninger, som å engasjere eksterne til å vurdere en søknad, </w:t>
      </w:r>
      <w:proofErr w:type="gramStart"/>
      <w:r w:rsidRPr="00170356">
        <w:rPr>
          <w:rFonts w:eastAsia="Calibri"/>
          <w:sz w:val="22"/>
          <w:szCs w:val="22"/>
          <w:lang w:eastAsia="en-US"/>
          <w14:ligatures w14:val="standardContextual"/>
        </w:rPr>
        <w:t>avgi</w:t>
      </w:r>
      <w:proofErr w:type="gramEnd"/>
      <w:r w:rsidRPr="00170356">
        <w:rPr>
          <w:rFonts w:eastAsia="Calibri"/>
          <w:sz w:val="22"/>
          <w:szCs w:val="22"/>
          <w:lang w:eastAsia="en-US"/>
          <w14:ligatures w14:val="standardContextual"/>
        </w:rPr>
        <w:t xml:space="preserve"> innstilling eller lignende, kan også regnes som en avgjørelse. For at tilliten til en avgjørelse skal kunne svekkes, må beslutningen ha mer enn en indirekte betydning for den endelige avgjørelsen i saken. I vurderingen av inhabilitet kan følgende forhold være spesielt relevante:</w:t>
      </w:r>
    </w:p>
    <w:p w14:paraId="45EC6158" w14:textId="77777777" w:rsidR="00170356" w:rsidRPr="00170356" w:rsidRDefault="00170356" w:rsidP="00170356">
      <w:pPr>
        <w:numPr>
          <w:ilvl w:val="0"/>
          <w:numId w:val="41"/>
        </w:numPr>
        <w:spacing w:after="240" w:line="276" w:lineRule="auto"/>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 xml:space="preserve">om beslutningen fremstår som et eget, formelt trinn i saksbehandlingen </w:t>
      </w:r>
    </w:p>
    <w:p w14:paraId="185F4B88" w14:textId="77777777" w:rsidR="00170356" w:rsidRPr="00170356" w:rsidRDefault="00170356" w:rsidP="00170356">
      <w:pPr>
        <w:numPr>
          <w:ilvl w:val="0"/>
          <w:numId w:val="41"/>
        </w:numPr>
        <w:spacing w:after="240" w:line="276" w:lineRule="auto"/>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 xml:space="preserve">om beslutningen setter nærmere rammer for det endelige vedtaket i saken  </w:t>
      </w:r>
    </w:p>
    <w:p w14:paraId="1AE15CBA" w14:textId="77777777" w:rsidR="00170356" w:rsidRPr="00170356" w:rsidRDefault="00170356" w:rsidP="00170356">
      <w:pPr>
        <w:numPr>
          <w:ilvl w:val="0"/>
          <w:numId w:val="41"/>
        </w:numPr>
        <w:spacing w:after="240" w:line="276" w:lineRule="auto"/>
        <w:contextualSpacing/>
        <w:rPr>
          <w:rFonts w:eastAsia="Calibri"/>
          <w:sz w:val="22"/>
          <w:szCs w:val="22"/>
          <w:lang w:eastAsia="en-US"/>
          <w14:ligatures w14:val="standardContextual"/>
        </w:rPr>
      </w:pPr>
      <w:r w:rsidRPr="00170356">
        <w:rPr>
          <w:rFonts w:eastAsia="Calibri"/>
          <w:sz w:val="22"/>
          <w:szCs w:val="22"/>
          <w:lang w:eastAsia="en-US"/>
          <w14:ligatures w14:val="standardContextual"/>
        </w:rPr>
        <w:t>om vesentlige praktiske grunner taler mot inhabilitet</w:t>
      </w:r>
    </w:p>
    <w:p w14:paraId="52AF0783" w14:textId="6ECD11D1" w:rsidR="00170356" w:rsidRDefault="00170356" w:rsidP="00B056CF">
      <w:pPr>
        <w:pStyle w:val="Overskrift2"/>
        <w:rPr>
          <w:rFonts w:eastAsia="Calibri"/>
          <w:lang w:eastAsia="en-US"/>
        </w:rPr>
      </w:pPr>
      <w:r w:rsidRPr="00170356">
        <w:rPr>
          <w:rFonts w:eastAsia="Calibri"/>
          <w:lang w:eastAsia="en-US"/>
        </w:rPr>
        <w:t>Inhabilitet som åpenbart ikke har innvirkning på saken</w:t>
      </w:r>
    </w:p>
    <w:p w14:paraId="1FB65FE2" w14:textId="77777777" w:rsidR="00B056CF" w:rsidRPr="00B056CF" w:rsidRDefault="00B056CF" w:rsidP="00B056CF">
      <w:pPr>
        <w:pStyle w:val="Brdtekst"/>
        <w:rPr>
          <w:rFonts w:eastAsia="Calibri"/>
          <w:lang w:eastAsia="en-US"/>
        </w:rPr>
      </w:pPr>
    </w:p>
    <w:p w14:paraId="1FC0126B"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lastRenderedPageBreak/>
        <w:t xml:space="preserve">Dersom det er åpenbart at inhabiliteten ikke vil kunne påvirke utfallet av saken, og verken offentlige eller private interesser tilsier at tjenestemann som er inhabil viker sete, kan han eller hun likevel delta ved forberedelse eller avgjørelse i saken. </w:t>
      </w:r>
    </w:p>
    <w:p w14:paraId="268F66F1" w14:textId="77777777" w:rsidR="00170356" w:rsidRPr="00170356" w:rsidRDefault="00170356" w:rsidP="00170356">
      <w:pPr>
        <w:spacing w:after="240" w:line="276" w:lineRule="auto"/>
        <w:rPr>
          <w:rFonts w:eastAsia="Calibri"/>
          <w:sz w:val="22"/>
          <w:szCs w:val="22"/>
          <w:lang w:eastAsia="en-US"/>
          <w14:ligatures w14:val="standardContextual"/>
        </w:rPr>
      </w:pPr>
      <w:r w:rsidRPr="00170356">
        <w:rPr>
          <w:rFonts w:eastAsia="Calibri"/>
          <w:sz w:val="22"/>
          <w:szCs w:val="22"/>
          <w:lang w:eastAsia="en-US"/>
          <w14:ligatures w14:val="standardContextual"/>
        </w:rPr>
        <w:t>Det er viktig å understreke at unntaket bare gjelder dersom det er åpenbart at inhabilitet ikke vil kunne påvirke utfallet i saken. Slik vil det i utgangspunktet bare være dersom vedtak i saken er strengt lovbundet. Slik vil det sjelden ligge an i saker for Norsk kulturråd. Videre kan det, selv i denne typen saker, være slik at offentlige eller private interesser tilsier at vedkommende som er inhabil likevel viker sete. Unntaksmuligheten bør derfor anvendes med forsiktighet.</w:t>
      </w:r>
    </w:p>
    <w:p w14:paraId="2B4F6AE5" w14:textId="11103937" w:rsidR="00597244" w:rsidRPr="00BE6E60" w:rsidRDefault="00597244" w:rsidP="00170356">
      <w:pPr>
        <w:pStyle w:val="Hovedtittel"/>
        <w:rPr>
          <w:sz w:val="22"/>
          <w:szCs w:val="22"/>
        </w:rPr>
      </w:pPr>
    </w:p>
    <w:sectPr w:rsidR="00597244" w:rsidRPr="00BE6E60" w:rsidSect="004E2D14">
      <w:footerReference w:type="default" r:id="rId11"/>
      <w:headerReference w:type="first" r:id="rId12"/>
      <w:footerReference w:type="first" r:id="rId13"/>
      <w:type w:val="continuous"/>
      <w:pgSz w:w="11906" w:h="16838" w:code="9"/>
      <w:pgMar w:top="1563" w:right="851" w:bottom="1531" w:left="1134" w:header="71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7069" w14:textId="77777777" w:rsidR="00340143" w:rsidRDefault="00340143">
      <w:r>
        <w:separator/>
      </w:r>
    </w:p>
  </w:endnote>
  <w:endnote w:type="continuationSeparator" w:id="0">
    <w:p w14:paraId="5E49FB2B" w14:textId="77777777" w:rsidR="00340143" w:rsidRDefault="0034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B174" w14:textId="77777777" w:rsidR="0073418C" w:rsidRPr="0073418C" w:rsidRDefault="0073418C">
    <w:pPr>
      <w:pStyle w:val="Bunntekst"/>
      <w:jc w:val="right"/>
      <w:rPr>
        <w:rFonts w:ascii="Times New Roman" w:hAnsi="Times New Roman" w:cs="Times New Roman"/>
        <w:sz w:val="20"/>
        <w:szCs w:val="20"/>
      </w:rPr>
    </w:pPr>
    <w:r w:rsidRPr="0073418C">
      <w:rPr>
        <w:rFonts w:ascii="Times New Roman" w:hAnsi="Times New Roman" w:cs="Times New Roman"/>
        <w:sz w:val="20"/>
        <w:szCs w:val="20"/>
      </w:rPr>
      <w:t xml:space="preserve">Side </w:t>
    </w:r>
    <w:sdt>
      <w:sdtPr>
        <w:rPr>
          <w:rFonts w:ascii="Times New Roman" w:hAnsi="Times New Roman" w:cs="Times New Roman"/>
          <w:sz w:val="20"/>
          <w:szCs w:val="20"/>
        </w:rPr>
        <w:id w:val="23461678"/>
        <w:docPartObj>
          <w:docPartGallery w:val="Page Numbers (Bottom of Page)"/>
          <w:docPartUnique/>
        </w:docPartObj>
      </w:sdtPr>
      <w:sdtContent>
        <w:r w:rsidR="00C12C50" w:rsidRPr="0073418C">
          <w:rPr>
            <w:rFonts w:ascii="Times New Roman" w:hAnsi="Times New Roman" w:cs="Times New Roman"/>
            <w:sz w:val="20"/>
            <w:szCs w:val="20"/>
          </w:rPr>
          <w:fldChar w:fldCharType="begin"/>
        </w:r>
        <w:r w:rsidRPr="0073418C">
          <w:rPr>
            <w:rFonts w:ascii="Times New Roman" w:hAnsi="Times New Roman" w:cs="Times New Roman"/>
            <w:sz w:val="20"/>
            <w:szCs w:val="20"/>
          </w:rPr>
          <w:instrText xml:space="preserve"> PAGE   \* MERGEFORMAT </w:instrText>
        </w:r>
        <w:r w:rsidR="00C12C50" w:rsidRPr="0073418C">
          <w:rPr>
            <w:rFonts w:ascii="Times New Roman" w:hAnsi="Times New Roman" w:cs="Times New Roman"/>
            <w:sz w:val="20"/>
            <w:szCs w:val="20"/>
          </w:rPr>
          <w:fldChar w:fldCharType="separate"/>
        </w:r>
        <w:r w:rsidR="004B28DF">
          <w:rPr>
            <w:rFonts w:ascii="Times New Roman" w:hAnsi="Times New Roman" w:cs="Times New Roman"/>
            <w:noProof/>
            <w:sz w:val="20"/>
            <w:szCs w:val="20"/>
          </w:rPr>
          <w:t>11</w:t>
        </w:r>
        <w:r w:rsidR="00C12C50" w:rsidRPr="0073418C">
          <w:rPr>
            <w:rFonts w:ascii="Times New Roman" w:hAnsi="Times New Roman" w:cs="Times New Roman"/>
            <w:sz w:val="20"/>
            <w:szCs w:val="20"/>
          </w:rPr>
          <w:fldChar w:fldCharType="end"/>
        </w:r>
      </w:sdtContent>
    </w:sdt>
  </w:p>
  <w:p w14:paraId="18697C65" w14:textId="77777777" w:rsidR="0069432B" w:rsidRPr="00A851A1" w:rsidRDefault="0069432B">
    <w:pPr>
      <w:pStyle w:val="Bunntekst"/>
      <w:jc w:val="right"/>
      <w:rPr>
        <w:rFonts w:ascii="Times New Roman" w:hAnsi="Times New Roman" w:cs="Times New Roman"/>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08C5" w14:textId="6376B546" w:rsidR="00F41B9B" w:rsidRPr="00B778AC" w:rsidRDefault="00F41B9B" w:rsidP="00F41B9B">
    <w:pPr>
      <w:pStyle w:val="Bunntekst"/>
      <w:rPr>
        <w:lang w:val="nn-NO"/>
      </w:rPr>
    </w:pPr>
    <w:r w:rsidRPr="007D2346">
      <w:rPr>
        <w:lang w:val="nn-NO"/>
      </w:rPr>
      <w:t>Kulturdirektoratet</w:t>
    </w:r>
    <w:r w:rsidRPr="00B778AC">
      <w:rPr>
        <w:lang w:val="nn-NO"/>
      </w:rPr>
      <w:tab/>
    </w:r>
    <w:r>
      <w:rPr>
        <w:lang w:val="nn-NO"/>
      </w:rPr>
      <w:tab/>
    </w:r>
    <w:r w:rsidRPr="00B778AC">
      <w:rPr>
        <w:lang w:val="nn-NO"/>
      </w:rPr>
      <w:t xml:space="preserve">Postboks 4808 Nydalen </w:t>
    </w:r>
  </w:p>
  <w:p w14:paraId="49C05D36" w14:textId="5C15253B" w:rsidR="00F41B9B" w:rsidRPr="00CE07EF" w:rsidRDefault="00F41B9B" w:rsidP="00F41B9B">
    <w:pPr>
      <w:pStyle w:val="Bunntekst"/>
      <w:rPr>
        <w:lang w:val="nn-NO"/>
      </w:rPr>
    </w:pPr>
    <w:r w:rsidRPr="007D2346">
      <w:rPr>
        <w:lang w:val="nn-NO"/>
      </w:rPr>
      <w:t xml:space="preserve">Arts and </w:t>
    </w:r>
    <w:proofErr w:type="spellStart"/>
    <w:r w:rsidRPr="007D2346">
      <w:rPr>
        <w:lang w:val="nn-NO"/>
      </w:rPr>
      <w:t>Culture</w:t>
    </w:r>
    <w:proofErr w:type="spellEnd"/>
    <w:r w:rsidRPr="007D2346">
      <w:rPr>
        <w:lang w:val="nn-NO"/>
      </w:rPr>
      <w:t xml:space="preserve"> Norway</w:t>
    </w:r>
    <w:r w:rsidRPr="00CE07EF">
      <w:rPr>
        <w:lang w:val="nn-NO"/>
      </w:rPr>
      <w:tab/>
    </w:r>
    <w:r>
      <w:rPr>
        <w:lang w:val="nn-NO"/>
      </w:rPr>
      <w:tab/>
    </w:r>
    <w:r w:rsidRPr="00B778AC">
      <w:rPr>
        <w:lang w:val="nn-NO"/>
      </w:rPr>
      <w:t>0422 Oslo, Norway</w:t>
    </w:r>
  </w:p>
  <w:p w14:paraId="1EC0D52E" w14:textId="77777777" w:rsidR="00F41B9B" w:rsidRDefault="00F41B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74C7" w14:textId="77777777" w:rsidR="00340143" w:rsidRDefault="00340143">
      <w:r>
        <w:separator/>
      </w:r>
    </w:p>
  </w:footnote>
  <w:footnote w:type="continuationSeparator" w:id="0">
    <w:p w14:paraId="02E054BC" w14:textId="77777777" w:rsidR="00340143" w:rsidRDefault="0034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EB52" w14:textId="3E1E869B" w:rsidR="00FC79A3" w:rsidRPr="00F41B9B" w:rsidRDefault="00F41B9B" w:rsidP="007172A1">
    <w:pPr>
      <w:pStyle w:val="Topptekst"/>
      <w:jc w:val="right"/>
      <w:rPr>
        <w:b w:val="0"/>
        <w:bCs w:val="0"/>
        <w:sz w:val="20"/>
        <w:szCs w:val="20"/>
      </w:rPr>
    </w:pPr>
    <w:r w:rsidRPr="00F41B9B">
      <w:rPr>
        <w:b w:val="0"/>
        <w:bCs w:val="0"/>
        <w:noProof/>
        <w:sz w:val="20"/>
        <w:szCs w:val="20"/>
      </w:rPr>
      <w:drawing>
        <wp:anchor distT="0" distB="0" distL="114300" distR="114300" simplePos="0" relativeHeight="251659264" behindDoc="1" locked="0" layoutInCell="1" allowOverlap="1" wp14:anchorId="5BF1E078" wp14:editId="693D4038">
          <wp:simplePos x="0" y="0"/>
          <wp:positionH relativeFrom="page">
            <wp:posOffset>720090</wp:posOffset>
          </wp:positionH>
          <wp:positionV relativeFrom="page">
            <wp:posOffset>455930</wp:posOffset>
          </wp:positionV>
          <wp:extent cx="1029600" cy="133200"/>
          <wp:effectExtent l="0" t="0" r="0" b="63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29600" cy="133200"/>
                  </a:xfrm>
                  <a:prstGeom prst="rect">
                    <a:avLst/>
                  </a:prstGeom>
                </pic:spPr>
              </pic:pic>
            </a:graphicData>
          </a:graphic>
          <wp14:sizeRelH relativeFrom="margin">
            <wp14:pctWidth>0</wp14:pctWidth>
          </wp14:sizeRelH>
          <wp14:sizeRelV relativeFrom="margin">
            <wp14:pctHeight>0</wp14:pctHeight>
          </wp14:sizeRelV>
        </wp:anchor>
      </w:drawing>
    </w:r>
    <w:r w:rsidR="000D62EE" w:rsidRPr="00F41B9B">
      <w:rPr>
        <w:b w:val="0"/>
        <w:bCs w:val="0"/>
        <w:sz w:val="20"/>
        <w:szCs w:val="20"/>
      </w:rPr>
      <w:t xml:space="preserve">Sist </w:t>
    </w:r>
    <w:proofErr w:type="spellStart"/>
    <w:r w:rsidR="00957C9F">
      <w:rPr>
        <w:b w:val="0"/>
        <w:bCs w:val="0"/>
        <w:sz w:val="20"/>
        <w:szCs w:val="20"/>
      </w:rPr>
      <w:t>revidert</w:t>
    </w:r>
    <w:proofErr w:type="spellEnd"/>
    <w:r w:rsidR="000D62EE" w:rsidRPr="00F41B9B">
      <w:rPr>
        <w:b w:val="0"/>
        <w:bCs w:val="0"/>
        <w:sz w:val="20"/>
        <w:szCs w:val="20"/>
      </w:rPr>
      <w:t xml:space="preserve"> </w:t>
    </w:r>
    <w:r w:rsidR="00A96EF0">
      <w:rPr>
        <w:b w:val="0"/>
        <w:bCs w:val="0"/>
        <w:sz w:val="20"/>
        <w:szCs w:val="20"/>
      </w:rPr>
      <w:t>03.10.2024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9891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105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5E2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440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28F0E"/>
    <w:lvl w:ilvl="0">
      <w:start w:val="1"/>
      <w:numFmt w:val="bullet"/>
      <w:pStyle w:val="Punktliste5"/>
      <w:lvlText w:val="▪"/>
      <w:lvlJc w:val="left"/>
      <w:pPr>
        <w:tabs>
          <w:tab w:val="num" w:pos="1557"/>
        </w:tabs>
        <w:ind w:left="1557" w:hanging="425"/>
      </w:pPr>
      <w:rPr>
        <w:rFonts w:ascii="Times New Roman" w:hAnsi="Times New Roman" w:cs="Times New Roman" w:hint="default"/>
      </w:rPr>
    </w:lvl>
  </w:abstractNum>
  <w:abstractNum w:abstractNumId="5" w15:restartNumberingAfterBreak="0">
    <w:nsid w:val="FFFFFF81"/>
    <w:multiLevelType w:val="singleLevel"/>
    <w:tmpl w:val="553C7454"/>
    <w:lvl w:ilvl="0">
      <w:start w:val="1"/>
      <w:numFmt w:val="bullet"/>
      <w:pStyle w:val="Punktliste4"/>
      <w:lvlText w:val="▪"/>
      <w:lvlJc w:val="left"/>
      <w:pPr>
        <w:tabs>
          <w:tab w:val="num" w:pos="1274"/>
        </w:tabs>
        <w:ind w:left="1274" w:hanging="425"/>
      </w:pPr>
      <w:rPr>
        <w:rFonts w:ascii="Times New Roman" w:hAnsi="Times New Roman" w:cs="Times New Roman" w:hint="default"/>
      </w:rPr>
    </w:lvl>
  </w:abstractNum>
  <w:abstractNum w:abstractNumId="6" w15:restartNumberingAfterBreak="0">
    <w:nsid w:val="FFFFFF82"/>
    <w:multiLevelType w:val="singleLevel"/>
    <w:tmpl w:val="3DBA6D8C"/>
    <w:lvl w:ilvl="0">
      <w:start w:val="1"/>
      <w:numFmt w:val="bullet"/>
      <w:pStyle w:val="Punktliste3"/>
      <w:lvlText w:val="▪"/>
      <w:lvlJc w:val="left"/>
      <w:pPr>
        <w:tabs>
          <w:tab w:val="num" w:pos="991"/>
        </w:tabs>
        <w:ind w:left="991" w:hanging="425"/>
      </w:pPr>
      <w:rPr>
        <w:rFonts w:ascii="Times New Roman" w:hAnsi="Times New Roman" w:cs="Times New Roman" w:hint="default"/>
      </w:rPr>
    </w:lvl>
  </w:abstractNum>
  <w:abstractNum w:abstractNumId="7" w15:restartNumberingAfterBreak="0">
    <w:nsid w:val="FFFFFF83"/>
    <w:multiLevelType w:val="singleLevel"/>
    <w:tmpl w:val="7ED0605A"/>
    <w:lvl w:ilvl="0">
      <w:start w:val="1"/>
      <w:numFmt w:val="bullet"/>
      <w:pStyle w:val="Punktliste2"/>
      <w:lvlText w:val="▪"/>
      <w:lvlJc w:val="left"/>
      <w:pPr>
        <w:tabs>
          <w:tab w:val="num" w:pos="708"/>
        </w:tabs>
        <w:ind w:left="708" w:hanging="425"/>
      </w:pPr>
      <w:rPr>
        <w:rFonts w:ascii="Times New Roman" w:hAnsi="Times New Roman" w:cs="Times New Roman" w:hint="default"/>
      </w:rPr>
    </w:lvl>
  </w:abstractNum>
  <w:abstractNum w:abstractNumId="8" w15:restartNumberingAfterBreak="0">
    <w:nsid w:val="FFFFFF88"/>
    <w:multiLevelType w:val="singleLevel"/>
    <w:tmpl w:val="BBE6DDB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D920493C"/>
    <w:lvl w:ilvl="0">
      <w:start w:val="1"/>
      <w:numFmt w:val="bullet"/>
      <w:pStyle w:val="Punktliste"/>
      <w:lvlText w:val="▪"/>
      <w:lvlJc w:val="left"/>
      <w:pPr>
        <w:tabs>
          <w:tab w:val="num" w:pos="425"/>
        </w:tabs>
        <w:ind w:left="425" w:hanging="425"/>
      </w:pPr>
      <w:rPr>
        <w:rFonts w:ascii="Times New Roman" w:hAnsi="Times New Roman" w:cs="Times New Roman" w:hint="default"/>
      </w:rPr>
    </w:lvl>
  </w:abstractNum>
  <w:abstractNum w:abstractNumId="10" w15:restartNumberingAfterBreak="0">
    <w:nsid w:val="00434516"/>
    <w:multiLevelType w:val="multilevel"/>
    <w:tmpl w:val="89668C54"/>
    <w:lvl w:ilvl="0">
      <w:start w:val="1"/>
      <w:numFmt w:val="decimal"/>
      <w:pStyle w:val="Overskrift1"/>
      <w:lvlText w:val="%1"/>
      <w:lvlJc w:val="left"/>
      <w:pPr>
        <w:tabs>
          <w:tab w:val="num" w:pos="992"/>
        </w:tabs>
        <w:ind w:left="-992" w:firstLine="992"/>
      </w:pPr>
      <w:rPr>
        <w:rFonts w:hint="default"/>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1" w15:restartNumberingAfterBreak="0">
    <w:nsid w:val="07B3121E"/>
    <w:multiLevelType w:val="hybridMultilevel"/>
    <w:tmpl w:val="5EC4DF3C"/>
    <w:lvl w:ilvl="0" w:tplc="04140001">
      <w:start w:val="1"/>
      <w:numFmt w:val="bullet"/>
      <w:lvlText w:val=""/>
      <w:lvlJc w:val="left"/>
      <w:pPr>
        <w:ind w:left="765" w:hanging="360"/>
      </w:pPr>
      <w:rPr>
        <w:rFonts w:ascii="Symbol" w:hAnsi="Symbol" w:hint="default"/>
      </w:rPr>
    </w:lvl>
    <w:lvl w:ilvl="1" w:tplc="04140003">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2" w15:restartNumberingAfterBreak="0">
    <w:nsid w:val="0BA02B95"/>
    <w:multiLevelType w:val="multilevel"/>
    <w:tmpl w:val="32A8A7C0"/>
    <w:name w:val="hjortlist"/>
    <w:lvl w:ilvl="0">
      <w:start w:val="1"/>
      <w:numFmt w:val="decimal"/>
      <w:pStyle w:val="HjortOverskrift1"/>
      <w:lvlText w:val="%1"/>
      <w:lvlJc w:val="left"/>
      <w:pPr>
        <w:tabs>
          <w:tab w:val="num" w:pos="0"/>
        </w:tabs>
        <w:ind w:left="0" w:firstLine="0"/>
      </w:pPr>
      <w:rPr>
        <w:rFonts w:hint="default"/>
      </w:rPr>
    </w:lvl>
    <w:lvl w:ilvl="1">
      <w:start w:val="1"/>
      <w:numFmt w:val="decimal"/>
      <w:pStyle w:val="HjortOverskrift2"/>
      <w:lvlText w:val="%1.%2"/>
      <w:lvlJc w:val="left"/>
      <w:pPr>
        <w:tabs>
          <w:tab w:val="num" w:pos="0"/>
        </w:tabs>
        <w:ind w:left="0" w:firstLine="0"/>
      </w:pPr>
      <w:rPr>
        <w:rFonts w:hint="default"/>
      </w:rPr>
    </w:lvl>
    <w:lvl w:ilvl="2">
      <w:start w:val="1"/>
      <w:numFmt w:val="decimal"/>
      <w:pStyle w:val="HjortOverskrift3"/>
      <w:lvlText w:val="%1.%2.%3"/>
      <w:lvlJc w:val="left"/>
      <w:pPr>
        <w:tabs>
          <w:tab w:val="num" w:pos="0"/>
        </w:tabs>
        <w:ind w:left="0" w:firstLine="0"/>
      </w:pPr>
      <w:rPr>
        <w:rFonts w:hint="default"/>
      </w:rPr>
    </w:lvl>
    <w:lvl w:ilvl="3">
      <w:start w:val="1"/>
      <w:numFmt w:val="decimal"/>
      <w:pStyle w:val="HjortOverskrift4"/>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130E29EB"/>
    <w:multiLevelType w:val="hybridMultilevel"/>
    <w:tmpl w:val="C156B9F8"/>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1788622E"/>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06111"/>
    <w:multiLevelType w:val="multilevel"/>
    <w:tmpl w:val="B06831AA"/>
    <w:lvl w:ilvl="0">
      <w:start w:val="1"/>
      <w:numFmt w:val="decimal"/>
      <w:pStyle w:val="Bilag"/>
      <w:lvlText w:val="Bilag %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26F3047"/>
    <w:multiLevelType w:val="multilevel"/>
    <w:tmpl w:val="FB1E4A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BB572E3"/>
    <w:multiLevelType w:val="hybridMultilevel"/>
    <w:tmpl w:val="9AFAD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C13002"/>
    <w:multiLevelType w:val="multilevel"/>
    <w:tmpl w:val="DACEC7BC"/>
    <w:lvl w:ilvl="0">
      <w:start w:val="1"/>
      <w:numFmt w:val="decimal"/>
      <w:pStyle w:val="BilagEngelsk"/>
      <w:lvlText w:val="Enclosure %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85C1195"/>
    <w:multiLevelType w:val="hybridMultilevel"/>
    <w:tmpl w:val="81089DEA"/>
    <w:lvl w:ilvl="0" w:tplc="9A0C4C46">
      <w:start w:val="1"/>
      <w:numFmt w:val="decimal"/>
      <w:lvlText w:val="Bilag %1:"/>
      <w:lvlJc w:val="left"/>
      <w:pPr>
        <w:tabs>
          <w:tab w:val="num" w:pos="992"/>
        </w:tabs>
        <w:ind w:left="992" w:hanging="992"/>
      </w:pPr>
      <w:rPr>
        <w:rFonts w:hint="default"/>
        <w:b/>
        <w:i w:val="0"/>
      </w:rPr>
    </w:lvl>
    <w:lvl w:ilvl="1" w:tplc="04140001">
      <w:start w:val="1"/>
      <w:numFmt w:val="bullet"/>
      <w:lvlText w:val=""/>
      <w:lvlJc w:val="left"/>
      <w:pPr>
        <w:tabs>
          <w:tab w:val="num" w:pos="1440"/>
        </w:tabs>
        <w:ind w:left="1440" w:hanging="360"/>
      </w:pPr>
      <w:rPr>
        <w:rFonts w:ascii="Symbol" w:hAnsi="Symbol" w:hint="default"/>
        <w:b/>
        <w:i w:val="0"/>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73C93A3A"/>
    <w:multiLevelType w:val="multilevel"/>
    <w:tmpl w:val="041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079525653">
    <w:abstractNumId w:val="20"/>
  </w:num>
  <w:num w:numId="2" w16cid:durableId="1425343143">
    <w:abstractNumId w:val="12"/>
  </w:num>
  <w:num w:numId="3" w16cid:durableId="954557333">
    <w:abstractNumId w:val="16"/>
  </w:num>
  <w:num w:numId="4" w16cid:durableId="305861752">
    <w:abstractNumId w:val="19"/>
  </w:num>
  <w:num w:numId="5" w16cid:durableId="2140217507">
    <w:abstractNumId w:val="10"/>
  </w:num>
  <w:num w:numId="6" w16cid:durableId="779297448">
    <w:abstractNumId w:val="10"/>
  </w:num>
  <w:num w:numId="7" w16cid:durableId="1910143126">
    <w:abstractNumId w:val="10"/>
  </w:num>
  <w:num w:numId="8" w16cid:durableId="1844516346">
    <w:abstractNumId w:val="10"/>
  </w:num>
  <w:num w:numId="9" w16cid:durableId="1497959095">
    <w:abstractNumId w:val="10"/>
  </w:num>
  <w:num w:numId="10" w16cid:durableId="1158495283">
    <w:abstractNumId w:val="10"/>
  </w:num>
  <w:num w:numId="11" w16cid:durableId="1284576151">
    <w:abstractNumId w:val="10"/>
  </w:num>
  <w:num w:numId="12" w16cid:durableId="1886017174">
    <w:abstractNumId w:val="10"/>
  </w:num>
  <w:num w:numId="13" w16cid:durableId="772238681">
    <w:abstractNumId w:val="10"/>
  </w:num>
  <w:num w:numId="14" w16cid:durableId="1557932730">
    <w:abstractNumId w:val="9"/>
  </w:num>
  <w:num w:numId="15" w16cid:durableId="354966648">
    <w:abstractNumId w:val="9"/>
  </w:num>
  <w:num w:numId="16" w16cid:durableId="861631254">
    <w:abstractNumId w:val="7"/>
  </w:num>
  <w:num w:numId="17" w16cid:durableId="685403731">
    <w:abstractNumId w:val="7"/>
  </w:num>
  <w:num w:numId="18" w16cid:durableId="1233007794">
    <w:abstractNumId w:val="6"/>
  </w:num>
  <w:num w:numId="19" w16cid:durableId="1368487389">
    <w:abstractNumId w:val="6"/>
  </w:num>
  <w:num w:numId="20" w16cid:durableId="332027056">
    <w:abstractNumId w:val="5"/>
  </w:num>
  <w:num w:numId="21" w16cid:durableId="1420714310">
    <w:abstractNumId w:val="5"/>
  </w:num>
  <w:num w:numId="22" w16cid:durableId="1177578377">
    <w:abstractNumId w:val="4"/>
  </w:num>
  <w:num w:numId="23" w16cid:durableId="883981841">
    <w:abstractNumId w:val="4"/>
  </w:num>
  <w:num w:numId="24" w16cid:durableId="1655186254">
    <w:abstractNumId w:val="8"/>
  </w:num>
  <w:num w:numId="25" w16cid:durableId="1767191211">
    <w:abstractNumId w:val="3"/>
  </w:num>
  <w:num w:numId="26" w16cid:durableId="1118061039">
    <w:abstractNumId w:val="2"/>
  </w:num>
  <w:num w:numId="27" w16cid:durableId="2109160190">
    <w:abstractNumId w:val="1"/>
  </w:num>
  <w:num w:numId="28" w16cid:durableId="246619345">
    <w:abstractNumId w:val="0"/>
  </w:num>
  <w:num w:numId="29" w16cid:durableId="581258027">
    <w:abstractNumId w:val="14"/>
  </w:num>
  <w:num w:numId="30" w16cid:durableId="1554924053">
    <w:abstractNumId w:val="9"/>
  </w:num>
  <w:num w:numId="31" w16cid:durableId="2032494008">
    <w:abstractNumId w:val="7"/>
  </w:num>
  <w:num w:numId="32" w16cid:durableId="1783069050">
    <w:abstractNumId w:val="6"/>
  </w:num>
  <w:num w:numId="33" w16cid:durableId="455224480">
    <w:abstractNumId w:val="5"/>
  </w:num>
  <w:num w:numId="34" w16cid:durableId="1497770581">
    <w:abstractNumId w:val="4"/>
  </w:num>
  <w:num w:numId="35" w16cid:durableId="1468277834">
    <w:abstractNumId w:val="15"/>
  </w:num>
  <w:num w:numId="36" w16cid:durableId="245581679">
    <w:abstractNumId w:val="18"/>
  </w:num>
  <w:num w:numId="37" w16cid:durableId="129523223">
    <w:abstractNumId w:val="8"/>
  </w:num>
  <w:num w:numId="38" w16cid:durableId="901214765">
    <w:abstractNumId w:val="11"/>
  </w:num>
  <w:num w:numId="39" w16cid:durableId="947077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6034119">
    <w:abstractNumId w:val="13"/>
  </w:num>
  <w:num w:numId="41" w16cid:durableId="180423193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1F"/>
    <w:rsid w:val="00000D15"/>
    <w:rsid w:val="0000125D"/>
    <w:rsid w:val="00003BAE"/>
    <w:rsid w:val="000056C1"/>
    <w:rsid w:val="000117EF"/>
    <w:rsid w:val="000128A8"/>
    <w:rsid w:val="00012ACF"/>
    <w:rsid w:val="000139B2"/>
    <w:rsid w:val="00015954"/>
    <w:rsid w:val="00015FA7"/>
    <w:rsid w:val="000177DF"/>
    <w:rsid w:val="000261A6"/>
    <w:rsid w:val="00027D2B"/>
    <w:rsid w:val="00031E69"/>
    <w:rsid w:val="000416E0"/>
    <w:rsid w:val="00041D4A"/>
    <w:rsid w:val="000427BD"/>
    <w:rsid w:val="00044F85"/>
    <w:rsid w:val="0004522E"/>
    <w:rsid w:val="00046689"/>
    <w:rsid w:val="00046F11"/>
    <w:rsid w:val="000510F6"/>
    <w:rsid w:val="00051C5A"/>
    <w:rsid w:val="00054BE1"/>
    <w:rsid w:val="00055CE8"/>
    <w:rsid w:val="0005601A"/>
    <w:rsid w:val="0006013E"/>
    <w:rsid w:val="000667F3"/>
    <w:rsid w:val="000668F4"/>
    <w:rsid w:val="000670BE"/>
    <w:rsid w:val="00072C62"/>
    <w:rsid w:val="00075B10"/>
    <w:rsid w:val="000B079B"/>
    <w:rsid w:val="000B10AE"/>
    <w:rsid w:val="000B5165"/>
    <w:rsid w:val="000C4194"/>
    <w:rsid w:val="000C6314"/>
    <w:rsid w:val="000D30F9"/>
    <w:rsid w:val="000D62EE"/>
    <w:rsid w:val="000E3E86"/>
    <w:rsid w:val="000E6134"/>
    <w:rsid w:val="000F380E"/>
    <w:rsid w:val="000F4A0C"/>
    <w:rsid w:val="000F4E95"/>
    <w:rsid w:val="000F4F86"/>
    <w:rsid w:val="00100033"/>
    <w:rsid w:val="0010321D"/>
    <w:rsid w:val="001034F1"/>
    <w:rsid w:val="00104077"/>
    <w:rsid w:val="0011090B"/>
    <w:rsid w:val="00111210"/>
    <w:rsid w:val="00111E59"/>
    <w:rsid w:val="0011245F"/>
    <w:rsid w:val="0011425B"/>
    <w:rsid w:val="00115B27"/>
    <w:rsid w:val="001165FB"/>
    <w:rsid w:val="001237E4"/>
    <w:rsid w:val="00143A81"/>
    <w:rsid w:val="001444A2"/>
    <w:rsid w:val="00144EF5"/>
    <w:rsid w:val="00146951"/>
    <w:rsid w:val="00151CE9"/>
    <w:rsid w:val="00151D23"/>
    <w:rsid w:val="00152251"/>
    <w:rsid w:val="00153AD4"/>
    <w:rsid w:val="00164711"/>
    <w:rsid w:val="00164B20"/>
    <w:rsid w:val="00167578"/>
    <w:rsid w:val="00170356"/>
    <w:rsid w:val="001714A1"/>
    <w:rsid w:val="00172B53"/>
    <w:rsid w:val="00173386"/>
    <w:rsid w:val="00176D21"/>
    <w:rsid w:val="001855F3"/>
    <w:rsid w:val="00190894"/>
    <w:rsid w:val="001939FA"/>
    <w:rsid w:val="00193E6A"/>
    <w:rsid w:val="00195979"/>
    <w:rsid w:val="00196739"/>
    <w:rsid w:val="001A451C"/>
    <w:rsid w:val="001A5A94"/>
    <w:rsid w:val="001B0F66"/>
    <w:rsid w:val="001B4D28"/>
    <w:rsid w:val="001B5F17"/>
    <w:rsid w:val="001B6071"/>
    <w:rsid w:val="001C1082"/>
    <w:rsid w:val="001C1985"/>
    <w:rsid w:val="001C2A5B"/>
    <w:rsid w:val="001C2B67"/>
    <w:rsid w:val="001C3957"/>
    <w:rsid w:val="001C55E5"/>
    <w:rsid w:val="001D0F37"/>
    <w:rsid w:val="001D0F73"/>
    <w:rsid w:val="001E10D7"/>
    <w:rsid w:val="001F2876"/>
    <w:rsid w:val="001F599F"/>
    <w:rsid w:val="00204E20"/>
    <w:rsid w:val="0020505D"/>
    <w:rsid w:val="00213A5D"/>
    <w:rsid w:val="00214358"/>
    <w:rsid w:val="00215EC3"/>
    <w:rsid w:val="002218C6"/>
    <w:rsid w:val="002244FF"/>
    <w:rsid w:val="00225A48"/>
    <w:rsid w:val="00232A61"/>
    <w:rsid w:val="00233417"/>
    <w:rsid w:val="00237DAA"/>
    <w:rsid w:val="00244FC0"/>
    <w:rsid w:val="0025380D"/>
    <w:rsid w:val="00257BC1"/>
    <w:rsid w:val="00260B5E"/>
    <w:rsid w:val="00261BDD"/>
    <w:rsid w:val="0026292D"/>
    <w:rsid w:val="00270363"/>
    <w:rsid w:val="002725A5"/>
    <w:rsid w:val="00274E3E"/>
    <w:rsid w:val="00275C99"/>
    <w:rsid w:val="00277B7A"/>
    <w:rsid w:val="00282FA1"/>
    <w:rsid w:val="00291735"/>
    <w:rsid w:val="00292429"/>
    <w:rsid w:val="00296B4E"/>
    <w:rsid w:val="002A0121"/>
    <w:rsid w:val="002A5289"/>
    <w:rsid w:val="002A69BC"/>
    <w:rsid w:val="002B1C7F"/>
    <w:rsid w:val="002C21ED"/>
    <w:rsid w:val="002C2BE9"/>
    <w:rsid w:val="002C3578"/>
    <w:rsid w:val="002C3D11"/>
    <w:rsid w:val="002C489D"/>
    <w:rsid w:val="002D03B1"/>
    <w:rsid w:val="002D18ED"/>
    <w:rsid w:val="002D3A1F"/>
    <w:rsid w:val="002D4315"/>
    <w:rsid w:val="002E09BE"/>
    <w:rsid w:val="002E187B"/>
    <w:rsid w:val="002E33E2"/>
    <w:rsid w:val="002E6D43"/>
    <w:rsid w:val="003019A2"/>
    <w:rsid w:val="00305F6B"/>
    <w:rsid w:val="00320528"/>
    <w:rsid w:val="00335B91"/>
    <w:rsid w:val="003363E3"/>
    <w:rsid w:val="00337AF3"/>
    <w:rsid w:val="00340143"/>
    <w:rsid w:val="003416C8"/>
    <w:rsid w:val="003428B4"/>
    <w:rsid w:val="00347D20"/>
    <w:rsid w:val="00350451"/>
    <w:rsid w:val="003606D9"/>
    <w:rsid w:val="00371A0F"/>
    <w:rsid w:val="00373215"/>
    <w:rsid w:val="00374667"/>
    <w:rsid w:val="00383BE6"/>
    <w:rsid w:val="003877AE"/>
    <w:rsid w:val="00391052"/>
    <w:rsid w:val="00391F59"/>
    <w:rsid w:val="00392023"/>
    <w:rsid w:val="003A1EFE"/>
    <w:rsid w:val="003A4F4A"/>
    <w:rsid w:val="003A604B"/>
    <w:rsid w:val="003B3627"/>
    <w:rsid w:val="003B4BCB"/>
    <w:rsid w:val="003B509F"/>
    <w:rsid w:val="003B6147"/>
    <w:rsid w:val="003C44B2"/>
    <w:rsid w:val="003C47D6"/>
    <w:rsid w:val="003C489A"/>
    <w:rsid w:val="003C5596"/>
    <w:rsid w:val="003D408D"/>
    <w:rsid w:val="003D6AD6"/>
    <w:rsid w:val="003D702F"/>
    <w:rsid w:val="003E0D76"/>
    <w:rsid w:val="003E668C"/>
    <w:rsid w:val="003E69C5"/>
    <w:rsid w:val="003E79C0"/>
    <w:rsid w:val="003F06F4"/>
    <w:rsid w:val="003F37B9"/>
    <w:rsid w:val="003F4298"/>
    <w:rsid w:val="003F6F28"/>
    <w:rsid w:val="003F7C2C"/>
    <w:rsid w:val="00400256"/>
    <w:rsid w:val="004010D1"/>
    <w:rsid w:val="00404E19"/>
    <w:rsid w:val="00404EE8"/>
    <w:rsid w:val="00405567"/>
    <w:rsid w:val="00405C41"/>
    <w:rsid w:val="00406901"/>
    <w:rsid w:val="004146D9"/>
    <w:rsid w:val="00414A06"/>
    <w:rsid w:val="00424E72"/>
    <w:rsid w:val="004334C6"/>
    <w:rsid w:val="004376E8"/>
    <w:rsid w:val="004413E5"/>
    <w:rsid w:val="0044410C"/>
    <w:rsid w:val="004501A2"/>
    <w:rsid w:val="00453A5A"/>
    <w:rsid w:val="00457E4C"/>
    <w:rsid w:val="004601A1"/>
    <w:rsid w:val="00464216"/>
    <w:rsid w:val="00471426"/>
    <w:rsid w:val="00473308"/>
    <w:rsid w:val="004735BC"/>
    <w:rsid w:val="00477560"/>
    <w:rsid w:val="00477736"/>
    <w:rsid w:val="00477D71"/>
    <w:rsid w:val="0048129C"/>
    <w:rsid w:val="004818CC"/>
    <w:rsid w:val="00483EED"/>
    <w:rsid w:val="00483FB7"/>
    <w:rsid w:val="004857CC"/>
    <w:rsid w:val="004859E4"/>
    <w:rsid w:val="0049130A"/>
    <w:rsid w:val="0049399F"/>
    <w:rsid w:val="00496862"/>
    <w:rsid w:val="004A1239"/>
    <w:rsid w:val="004A2E66"/>
    <w:rsid w:val="004A6329"/>
    <w:rsid w:val="004A76BE"/>
    <w:rsid w:val="004B1E2F"/>
    <w:rsid w:val="004B28DF"/>
    <w:rsid w:val="004B44A1"/>
    <w:rsid w:val="004B6880"/>
    <w:rsid w:val="004C1FC3"/>
    <w:rsid w:val="004D2E8A"/>
    <w:rsid w:val="004D337E"/>
    <w:rsid w:val="004D727F"/>
    <w:rsid w:val="004E082A"/>
    <w:rsid w:val="004E2D14"/>
    <w:rsid w:val="004E3B3C"/>
    <w:rsid w:val="004E5EDB"/>
    <w:rsid w:val="004E6A5A"/>
    <w:rsid w:val="004E71F1"/>
    <w:rsid w:val="004E7E2A"/>
    <w:rsid w:val="004F266D"/>
    <w:rsid w:val="004F5BAF"/>
    <w:rsid w:val="004F5DA5"/>
    <w:rsid w:val="00500FF3"/>
    <w:rsid w:val="0050560D"/>
    <w:rsid w:val="00510124"/>
    <w:rsid w:val="0052251B"/>
    <w:rsid w:val="005247C9"/>
    <w:rsid w:val="005250A1"/>
    <w:rsid w:val="0052530D"/>
    <w:rsid w:val="00537118"/>
    <w:rsid w:val="00541AD3"/>
    <w:rsid w:val="005515C0"/>
    <w:rsid w:val="00552515"/>
    <w:rsid w:val="00561810"/>
    <w:rsid w:val="00561E12"/>
    <w:rsid w:val="0057216C"/>
    <w:rsid w:val="00572DBC"/>
    <w:rsid w:val="00583F40"/>
    <w:rsid w:val="00584E97"/>
    <w:rsid w:val="0058743E"/>
    <w:rsid w:val="00596D68"/>
    <w:rsid w:val="00597244"/>
    <w:rsid w:val="005A2E7D"/>
    <w:rsid w:val="005A5741"/>
    <w:rsid w:val="005A637A"/>
    <w:rsid w:val="005B5F0C"/>
    <w:rsid w:val="005C1045"/>
    <w:rsid w:val="005C4134"/>
    <w:rsid w:val="005C52FF"/>
    <w:rsid w:val="005D1782"/>
    <w:rsid w:val="005D3DF5"/>
    <w:rsid w:val="005E53F1"/>
    <w:rsid w:val="005E5A66"/>
    <w:rsid w:val="005F0D16"/>
    <w:rsid w:val="005F3932"/>
    <w:rsid w:val="005F6AB1"/>
    <w:rsid w:val="00602264"/>
    <w:rsid w:val="00604D67"/>
    <w:rsid w:val="00606A6C"/>
    <w:rsid w:val="00617FC5"/>
    <w:rsid w:val="00621735"/>
    <w:rsid w:val="00623D87"/>
    <w:rsid w:val="00627A7B"/>
    <w:rsid w:val="00627F08"/>
    <w:rsid w:val="006314BF"/>
    <w:rsid w:val="0063318A"/>
    <w:rsid w:val="006336D0"/>
    <w:rsid w:val="00636298"/>
    <w:rsid w:val="00640AF7"/>
    <w:rsid w:val="0064580D"/>
    <w:rsid w:val="0064595B"/>
    <w:rsid w:val="00646BE4"/>
    <w:rsid w:val="006526FA"/>
    <w:rsid w:val="0065538C"/>
    <w:rsid w:val="006603E4"/>
    <w:rsid w:val="00663EF5"/>
    <w:rsid w:val="00664475"/>
    <w:rsid w:val="006661FD"/>
    <w:rsid w:val="0067164D"/>
    <w:rsid w:val="00673BFB"/>
    <w:rsid w:val="00674E5D"/>
    <w:rsid w:val="00675524"/>
    <w:rsid w:val="00682A7B"/>
    <w:rsid w:val="00684C4E"/>
    <w:rsid w:val="006850FB"/>
    <w:rsid w:val="00685A73"/>
    <w:rsid w:val="006876D4"/>
    <w:rsid w:val="006901A6"/>
    <w:rsid w:val="0069432B"/>
    <w:rsid w:val="00694523"/>
    <w:rsid w:val="00696088"/>
    <w:rsid w:val="006977ED"/>
    <w:rsid w:val="006A19DB"/>
    <w:rsid w:val="006A634B"/>
    <w:rsid w:val="006B10C7"/>
    <w:rsid w:val="006C3A50"/>
    <w:rsid w:val="006C4EDF"/>
    <w:rsid w:val="006C70B5"/>
    <w:rsid w:val="006D035C"/>
    <w:rsid w:val="006D1C4D"/>
    <w:rsid w:val="006D47B4"/>
    <w:rsid w:val="006E036F"/>
    <w:rsid w:val="006E42FE"/>
    <w:rsid w:val="006E489E"/>
    <w:rsid w:val="006F36D5"/>
    <w:rsid w:val="006F4F29"/>
    <w:rsid w:val="006F7F69"/>
    <w:rsid w:val="007050D0"/>
    <w:rsid w:val="007172A1"/>
    <w:rsid w:val="007174A8"/>
    <w:rsid w:val="007207E7"/>
    <w:rsid w:val="00721CDA"/>
    <w:rsid w:val="007244C5"/>
    <w:rsid w:val="00724BB1"/>
    <w:rsid w:val="00724D7C"/>
    <w:rsid w:val="007256E9"/>
    <w:rsid w:val="0073418C"/>
    <w:rsid w:val="007343DC"/>
    <w:rsid w:val="00736327"/>
    <w:rsid w:val="007369DB"/>
    <w:rsid w:val="00737229"/>
    <w:rsid w:val="00742DCB"/>
    <w:rsid w:val="00743CE4"/>
    <w:rsid w:val="00744803"/>
    <w:rsid w:val="0074684A"/>
    <w:rsid w:val="00747892"/>
    <w:rsid w:val="007479D2"/>
    <w:rsid w:val="0075032E"/>
    <w:rsid w:val="0075107B"/>
    <w:rsid w:val="00756942"/>
    <w:rsid w:val="00761AEB"/>
    <w:rsid w:val="0076408A"/>
    <w:rsid w:val="00767EFC"/>
    <w:rsid w:val="00777786"/>
    <w:rsid w:val="0078050B"/>
    <w:rsid w:val="00781432"/>
    <w:rsid w:val="0078639A"/>
    <w:rsid w:val="0078653E"/>
    <w:rsid w:val="00787D3F"/>
    <w:rsid w:val="007A0664"/>
    <w:rsid w:val="007A0718"/>
    <w:rsid w:val="007A5716"/>
    <w:rsid w:val="007A6022"/>
    <w:rsid w:val="007B1BA6"/>
    <w:rsid w:val="007B3431"/>
    <w:rsid w:val="007B6255"/>
    <w:rsid w:val="007C3E0D"/>
    <w:rsid w:val="007C4DFA"/>
    <w:rsid w:val="007C5788"/>
    <w:rsid w:val="007C70FF"/>
    <w:rsid w:val="007C769B"/>
    <w:rsid w:val="007E140C"/>
    <w:rsid w:val="007E15C7"/>
    <w:rsid w:val="007E390E"/>
    <w:rsid w:val="007E3A82"/>
    <w:rsid w:val="007E5F36"/>
    <w:rsid w:val="007E7F41"/>
    <w:rsid w:val="007F23F9"/>
    <w:rsid w:val="007F7260"/>
    <w:rsid w:val="0080153C"/>
    <w:rsid w:val="00807F93"/>
    <w:rsid w:val="0081024D"/>
    <w:rsid w:val="00810494"/>
    <w:rsid w:val="0081416A"/>
    <w:rsid w:val="0081636F"/>
    <w:rsid w:val="00817C7D"/>
    <w:rsid w:val="00822C3B"/>
    <w:rsid w:val="00826D97"/>
    <w:rsid w:val="00832336"/>
    <w:rsid w:val="008344CB"/>
    <w:rsid w:val="00836E34"/>
    <w:rsid w:val="00841E04"/>
    <w:rsid w:val="00847E80"/>
    <w:rsid w:val="00850612"/>
    <w:rsid w:val="00855CB3"/>
    <w:rsid w:val="008601D6"/>
    <w:rsid w:val="00863699"/>
    <w:rsid w:val="00864AF5"/>
    <w:rsid w:val="00870144"/>
    <w:rsid w:val="00880A71"/>
    <w:rsid w:val="00880F84"/>
    <w:rsid w:val="00881EBF"/>
    <w:rsid w:val="008827C4"/>
    <w:rsid w:val="0088317D"/>
    <w:rsid w:val="008839B8"/>
    <w:rsid w:val="00883D1C"/>
    <w:rsid w:val="00886271"/>
    <w:rsid w:val="0088799C"/>
    <w:rsid w:val="00891327"/>
    <w:rsid w:val="00893CC0"/>
    <w:rsid w:val="00896F24"/>
    <w:rsid w:val="0089757E"/>
    <w:rsid w:val="008A255F"/>
    <w:rsid w:val="008A34A9"/>
    <w:rsid w:val="008B2511"/>
    <w:rsid w:val="008B5FA3"/>
    <w:rsid w:val="008B6A07"/>
    <w:rsid w:val="008C01DE"/>
    <w:rsid w:val="008C0214"/>
    <w:rsid w:val="008C22E7"/>
    <w:rsid w:val="008C2C56"/>
    <w:rsid w:val="008D1BDB"/>
    <w:rsid w:val="008D4C37"/>
    <w:rsid w:val="008D5E7E"/>
    <w:rsid w:val="008E2714"/>
    <w:rsid w:val="008E4923"/>
    <w:rsid w:val="008F1B9E"/>
    <w:rsid w:val="008F3A25"/>
    <w:rsid w:val="008F42C0"/>
    <w:rsid w:val="008F7B14"/>
    <w:rsid w:val="009024F5"/>
    <w:rsid w:val="00905A43"/>
    <w:rsid w:val="00906716"/>
    <w:rsid w:val="00906BB0"/>
    <w:rsid w:val="00910FD5"/>
    <w:rsid w:val="00911040"/>
    <w:rsid w:val="00912FF6"/>
    <w:rsid w:val="00915F7B"/>
    <w:rsid w:val="009301EF"/>
    <w:rsid w:val="009303CB"/>
    <w:rsid w:val="00931942"/>
    <w:rsid w:val="0093452C"/>
    <w:rsid w:val="0094318B"/>
    <w:rsid w:val="009470A1"/>
    <w:rsid w:val="00950879"/>
    <w:rsid w:val="009510A2"/>
    <w:rsid w:val="00956E65"/>
    <w:rsid w:val="00957C9F"/>
    <w:rsid w:val="00960C25"/>
    <w:rsid w:val="009614E3"/>
    <w:rsid w:val="00963742"/>
    <w:rsid w:val="00973175"/>
    <w:rsid w:val="00976135"/>
    <w:rsid w:val="0097619E"/>
    <w:rsid w:val="009772B1"/>
    <w:rsid w:val="00981007"/>
    <w:rsid w:val="00981441"/>
    <w:rsid w:val="00981664"/>
    <w:rsid w:val="009828D9"/>
    <w:rsid w:val="00990F01"/>
    <w:rsid w:val="00991C07"/>
    <w:rsid w:val="009A305C"/>
    <w:rsid w:val="009A5064"/>
    <w:rsid w:val="009B2CF8"/>
    <w:rsid w:val="009B3BDD"/>
    <w:rsid w:val="009B4C00"/>
    <w:rsid w:val="009C0CAF"/>
    <w:rsid w:val="009C22D0"/>
    <w:rsid w:val="009C7FFB"/>
    <w:rsid w:val="009D255E"/>
    <w:rsid w:val="009D763D"/>
    <w:rsid w:val="009D7890"/>
    <w:rsid w:val="009D7C22"/>
    <w:rsid w:val="009E60DE"/>
    <w:rsid w:val="009E65EA"/>
    <w:rsid w:val="009E690A"/>
    <w:rsid w:val="009F485D"/>
    <w:rsid w:val="009F54B6"/>
    <w:rsid w:val="009F6198"/>
    <w:rsid w:val="009F6495"/>
    <w:rsid w:val="009F6AB9"/>
    <w:rsid w:val="00A0471E"/>
    <w:rsid w:val="00A06346"/>
    <w:rsid w:val="00A06ADF"/>
    <w:rsid w:val="00A10D93"/>
    <w:rsid w:val="00A11FB7"/>
    <w:rsid w:val="00A14AFC"/>
    <w:rsid w:val="00A16431"/>
    <w:rsid w:val="00A17608"/>
    <w:rsid w:val="00A17D8C"/>
    <w:rsid w:val="00A22FD7"/>
    <w:rsid w:val="00A253EE"/>
    <w:rsid w:val="00A26FCD"/>
    <w:rsid w:val="00A278DA"/>
    <w:rsid w:val="00A32A80"/>
    <w:rsid w:val="00A334AD"/>
    <w:rsid w:val="00A334DC"/>
    <w:rsid w:val="00A34C6E"/>
    <w:rsid w:val="00A42443"/>
    <w:rsid w:val="00A4356C"/>
    <w:rsid w:val="00A43FF3"/>
    <w:rsid w:val="00A51B32"/>
    <w:rsid w:val="00A54235"/>
    <w:rsid w:val="00A57263"/>
    <w:rsid w:val="00A57B45"/>
    <w:rsid w:val="00A57F20"/>
    <w:rsid w:val="00A62185"/>
    <w:rsid w:val="00A64638"/>
    <w:rsid w:val="00A659B3"/>
    <w:rsid w:val="00A77C05"/>
    <w:rsid w:val="00A80EB8"/>
    <w:rsid w:val="00A82F77"/>
    <w:rsid w:val="00A851A1"/>
    <w:rsid w:val="00A85F62"/>
    <w:rsid w:val="00A872B9"/>
    <w:rsid w:val="00A96EF0"/>
    <w:rsid w:val="00AA0B4E"/>
    <w:rsid w:val="00AA2AD5"/>
    <w:rsid w:val="00AA5DD1"/>
    <w:rsid w:val="00AB1223"/>
    <w:rsid w:val="00AC1731"/>
    <w:rsid w:val="00AD2F53"/>
    <w:rsid w:val="00AD39E2"/>
    <w:rsid w:val="00AD3B29"/>
    <w:rsid w:val="00AD58F2"/>
    <w:rsid w:val="00AE1EDA"/>
    <w:rsid w:val="00AF5E6C"/>
    <w:rsid w:val="00B01C01"/>
    <w:rsid w:val="00B056CF"/>
    <w:rsid w:val="00B0693E"/>
    <w:rsid w:val="00B07050"/>
    <w:rsid w:val="00B070A9"/>
    <w:rsid w:val="00B1074D"/>
    <w:rsid w:val="00B113C5"/>
    <w:rsid w:val="00B13901"/>
    <w:rsid w:val="00B15610"/>
    <w:rsid w:val="00B21243"/>
    <w:rsid w:val="00B23B12"/>
    <w:rsid w:val="00B23CC9"/>
    <w:rsid w:val="00B301B5"/>
    <w:rsid w:val="00B3118B"/>
    <w:rsid w:val="00B3190E"/>
    <w:rsid w:val="00B426D0"/>
    <w:rsid w:val="00B4368E"/>
    <w:rsid w:val="00B50C8D"/>
    <w:rsid w:val="00B52C86"/>
    <w:rsid w:val="00B532EA"/>
    <w:rsid w:val="00B54B48"/>
    <w:rsid w:val="00B664BC"/>
    <w:rsid w:val="00B7577D"/>
    <w:rsid w:val="00B77AFF"/>
    <w:rsid w:val="00B87907"/>
    <w:rsid w:val="00B91B62"/>
    <w:rsid w:val="00B91EA3"/>
    <w:rsid w:val="00B96441"/>
    <w:rsid w:val="00B96F65"/>
    <w:rsid w:val="00BA3CE5"/>
    <w:rsid w:val="00BA5096"/>
    <w:rsid w:val="00BA6EFA"/>
    <w:rsid w:val="00BB0CB0"/>
    <w:rsid w:val="00BB760E"/>
    <w:rsid w:val="00BC2E35"/>
    <w:rsid w:val="00BD5973"/>
    <w:rsid w:val="00BD683C"/>
    <w:rsid w:val="00BE529E"/>
    <w:rsid w:val="00BE6E60"/>
    <w:rsid w:val="00BE7D56"/>
    <w:rsid w:val="00C00CA3"/>
    <w:rsid w:val="00C03098"/>
    <w:rsid w:val="00C035D2"/>
    <w:rsid w:val="00C073EB"/>
    <w:rsid w:val="00C1110C"/>
    <w:rsid w:val="00C11848"/>
    <w:rsid w:val="00C12C50"/>
    <w:rsid w:val="00C2223A"/>
    <w:rsid w:val="00C22C57"/>
    <w:rsid w:val="00C32C8E"/>
    <w:rsid w:val="00C35621"/>
    <w:rsid w:val="00C367D7"/>
    <w:rsid w:val="00C37A8E"/>
    <w:rsid w:val="00C47292"/>
    <w:rsid w:val="00C50AF6"/>
    <w:rsid w:val="00C53BEF"/>
    <w:rsid w:val="00C54AA4"/>
    <w:rsid w:val="00C60A7F"/>
    <w:rsid w:val="00C60EB8"/>
    <w:rsid w:val="00C652BF"/>
    <w:rsid w:val="00C67D6E"/>
    <w:rsid w:val="00C725D0"/>
    <w:rsid w:val="00C84046"/>
    <w:rsid w:val="00C86E37"/>
    <w:rsid w:val="00C8736A"/>
    <w:rsid w:val="00C935C7"/>
    <w:rsid w:val="00C94F5F"/>
    <w:rsid w:val="00C96404"/>
    <w:rsid w:val="00CA0943"/>
    <w:rsid w:val="00CA2B04"/>
    <w:rsid w:val="00CB0F28"/>
    <w:rsid w:val="00CB5FC1"/>
    <w:rsid w:val="00CB65CB"/>
    <w:rsid w:val="00CB7A31"/>
    <w:rsid w:val="00CD5C0F"/>
    <w:rsid w:val="00CD6C45"/>
    <w:rsid w:val="00CE1ED6"/>
    <w:rsid w:val="00CE38CE"/>
    <w:rsid w:val="00CE393E"/>
    <w:rsid w:val="00CE7DDB"/>
    <w:rsid w:val="00CF00C9"/>
    <w:rsid w:val="00CF3106"/>
    <w:rsid w:val="00D03CE5"/>
    <w:rsid w:val="00D07071"/>
    <w:rsid w:val="00D127B4"/>
    <w:rsid w:val="00D1358A"/>
    <w:rsid w:val="00D17DD1"/>
    <w:rsid w:val="00D208A3"/>
    <w:rsid w:val="00D22F87"/>
    <w:rsid w:val="00D34A97"/>
    <w:rsid w:val="00D40550"/>
    <w:rsid w:val="00D41F37"/>
    <w:rsid w:val="00D43881"/>
    <w:rsid w:val="00D44554"/>
    <w:rsid w:val="00D4766D"/>
    <w:rsid w:val="00D47EF3"/>
    <w:rsid w:val="00D5626C"/>
    <w:rsid w:val="00D637B7"/>
    <w:rsid w:val="00D6748E"/>
    <w:rsid w:val="00D67945"/>
    <w:rsid w:val="00D712D3"/>
    <w:rsid w:val="00D71CE3"/>
    <w:rsid w:val="00D75198"/>
    <w:rsid w:val="00D764EE"/>
    <w:rsid w:val="00D81A6A"/>
    <w:rsid w:val="00D83D06"/>
    <w:rsid w:val="00D85227"/>
    <w:rsid w:val="00D86608"/>
    <w:rsid w:val="00D900F8"/>
    <w:rsid w:val="00D928DB"/>
    <w:rsid w:val="00D961B5"/>
    <w:rsid w:val="00DA13F2"/>
    <w:rsid w:val="00DA3C30"/>
    <w:rsid w:val="00DA43BA"/>
    <w:rsid w:val="00DB0B29"/>
    <w:rsid w:val="00DB261B"/>
    <w:rsid w:val="00DB2C60"/>
    <w:rsid w:val="00DB2E99"/>
    <w:rsid w:val="00DC2BF7"/>
    <w:rsid w:val="00DC62ED"/>
    <w:rsid w:val="00DC77C7"/>
    <w:rsid w:val="00DD47B1"/>
    <w:rsid w:val="00DE2A34"/>
    <w:rsid w:val="00DE5E93"/>
    <w:rsid w:val="00E02222"/>
    <w:rsid w:val="00E03930"/>
    <w:rsid w:val="00E118DD"/>
    <w:rsid w:val="00E14F1F"/>
    <w:rsid w:val="00E1739D"/>
    <w:rsid w:val="00E20A51"/>
    <w:rsid w:val="00E21527"/>
    <w:rsid w:val="00E2209A"/>
    <w:rsid w:val="00E24A20"/>
    <w:rsid w:val="00E3522F"/>
    <w:rsid w:val="00E354EB"/>
    <w:rsid w:val="00E37A98"/>
    <w:rsid w:val="00E41038"/>
    <w:rsid w:val="00E41DDF"/>
    <w:rsid w:val="00E42990"/>
    <w:rsid w:val="00E430C0"/>
    <w:rsid w:val="00E436E4"/>
    <w:rsid w:val="00E6437B"/>
    <w:rsid w:val="00E85FF0"/>
    <w:rsid w:val="00E867ED"/>
    <w:rsid w:val="00E8776D"/>
    <w:rsid w:val="00E9100F"/>
    <w:rsid w:val="00EA0252"/>
    <w:rsid w:val="00EB2062"/>
    <w:rsid w:val="00EB2531"/>
    <w:rsid w:val="00EB2765"/>
    <w:rsid w:val="00EB307D"/>
    <w:rsid w:val="00EB7978"/>
    <w:rsid w:val="00EC12DF"/>
    <w:rsid w:val="00EC13A5"/>
    <w:rsid w:val="00EC2790"/>
    <w:rsid w:val="00EC50BC"/>
    <w:rsid w:val="00EC61E6"/>
    <w:rsid w:val="00EC7661"/>
    <w:rsid w:val="00EC7DF9"/>
    <w:rsid w:val="00EE1214"/>
    <w:rsid w:val="00EF3FD1"/>
    <w:rsid w:val="00EF60AF"/>
    <w:rsid w:val="00F038FF"/>
    <w:rsid w:val="00F15653"/>
    <w:rsid w:val="00F16038"/>
    <w:rsid w:val="00F22538"/>
    <w:rsid w:val="00F255F8"/>
    <w:rsid w:val="00F26595"/>
    <w:rsid w:val="00F30952"/>
    <w:rsid w:val="00F310E5"/>
    <w:rsid w:val="00F34601"/>
    <w:rsid w:val="00F36726"/>
    <w:rsid w:val="00F4188F"/>
    <w:rsid w:val="00F41B9B"/>
    <w:rsid w:val="00F4474A"/>
    <w:rsid w:val="00F46406"/>
    <w:rsid w:val="00F533BD"/>
    <w:rsid w:val="00F53E3A"/>
    <w:rsid w:val="00F54643"/>
    <w:rsid w:val="00F5683C"/>
    <w:rsid w:val="00F61C0F"/>
    <w:rsid w:val="00F63B10"/>
    <w:rsid w:val="00F6647A"/>
    <w:rsid w:val="00F70554"/>
    <w:rsid w:val="00F7069C"/>
    <w:rsid w:val="00F70F76"/>
    <w:rsid w:val="00F74B2D"/>
    <w:rsid w:val="00F75831"/>
    <w:rsid w:val="00F84166"/>
    <w:rsid w:val="00F84336"/>
    <w:rsid w:val="00F869C1"/>
    <w:rsid w:val="00F87406"/>
    <w:rsid w:val="00FA2409"/>
    <w:rsid w:val="00FA72B3"/>
    <w:rsid w:val="00FC79A3"/>
    <w:rsid w:val="00FD2F11"/>
    <w:rsid w:val="00FD37CA"/>
    <w:rsid w:val="00FD7BF5"/>
    <w:rsid w:val="00FE0584"/>
    <w:rsid w:val="00FE06FF"/>
    <w:rsid w:val="00FE5E6F"/>
    <w:rsid w:val="00FF04F7"/>
    <w:rsid w:val="00FF53E5"/>
    <w:rsid w:val="00FF5BD1"/>
    <w:rsid w:val="00FF63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9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8DB"/>
    <w:rPr>
      <w:sz w:val="24"/>
      <w:szCs w:val="24"/>
    </w:rPr>
  </w:style>
  <w:style w:type="paragraph" w:styleId="Overskrift1">
    <w:name w:val="heading 1"/>
    <w:basedOn w:val="Normal"/>
    <w:next w:val="Brdtekst"/>
    <w:qFormat/>
    <w:rsid w:val="00A96EF0"/>
    <w:pPr>
      <w:keepNext/>
      <w:numPr>
        <w:numId w:val="13"/>
      </w:numPr>
      <w:tabs>
        <w:tab w:val="num" w:pos="567"/>
      </w:tabs>
      <w:spacing w:before="300" w:line="300" w:lineRule="atLeast"/>
      <w:ind w:left="992" w:hanging="992"/>
      <w:outlineLvl w:val="0"/>
    </w:pPr>
    <w:rPr>
      <w:rFonts w:cs="Arial"/>
      <w:b/>
      <w:bCs/>
      <w:kern w:val="32"/>
    </w:rPr>
  </w:style>
  <w:style w:type="paragraph" w:styleId="Overskrift2">
    <w:name w:val="heading 2"/>
    <w:basedOn w:val="Normal"/>
    <w:next w:val="Brdtekst"/>
    <w:qFormat/>
    <w:rsid w:val="00A96EF0"/>
    <w:pPr>
      <w:keepNext/>
      <w:numPr>
        <w:ilvl w:val="1"/>
        <w:numId w:val="13"/>
      </w:numPr>
      <w:tabs>
        <w:tab w:val="num" w:pos="567"/>
      </w:tabs>
      <w:spacing w:line="300" w:lineRule="atLeast"/>
      <w:outlineLvl w:val="1"/>
    </w:pPr>
    <w:rPr>
      <w:rFonts w:cs="Arial"/>
      <w:b/>
      <w:bCs/>
      <w:iCs/>
    </w:rPr>
  </w:style>
  <w:style w:type="paragraph" w:styleId="Overskrift3">
    <w:name w:val="heading 3"/>
    <w:basedOn w:val="Normal"/>
    <w:next w:val="Brdtekst"/>
    <w:qFormat/>
    <w:rsid w:val="006C4EDF"/>
    <w:pPr>
      <w:keepNext/>
      <w:numPr>
        <w:ilvl w:val="2"/>
        <w:numId w:val="13"/>
      </w:numPr>
      <w:spacing w:line="300" w:lineRule="atLeast"/>
      <w:outlineLvl w:val="2"/>
    </w:pPr>
    <w:rPr>
      <w:rFonts w:cs="Arial"/>
      <w:b/>
      <w:bCs/>
    </w:rPr>
  </w:style>
  <w:style w:type="paragraph" w:styleId="Overskrift4">
    <w:name w:val="heading 4"/>
    <w:basedOn w:val="Normal"/>
    <w:next w:val="Brdtekst"/>
    <w:qFormat/>
    <w:rsid w:val="002E09BE"/>
    <w:pPr>
      <w:keepNext/>
      <w:numPr>
        <w:ilvl w:val="3"/>
        <w:numId w:val="13"/>
      </w:numPr>
      <w:tabs>
        <w:tab w:val="clear" w:pos="1276"/>
        <w:tab w:val="left" w:pos="992"/>
      </w:tabs>
      <w:spacing w:line="300" w:lineRule="atLeast"/>
      <w:ind w:left="992" w:hanging="992"/>
      <w:outlineLvl w:val="3"/>
    </w:pPr>
    <w:rPr>
      <w:b/>
      <w:bCs/>
    </w:rPr>
  </w:style>
  <w:style w:type="paragraph" w:styleId="Overskrift5">
    <w:name w:val="heading 5"/>
    <w:basedOn w:val="Normal"/>
    <w:next w:val="Normal"/>
    <w:rsid w:val="00D71CE3"/>
    <w:pPr>
      <w:keepNext/>
      <w:numPr>
        <w:ilvl w:val="4"/>
        <w:numId w:val="13"/>
      </w:numPr>
      <w:outlineLvl w:val="4"/>
    </w:pPr>
    <w:rPr>
      <w:sz w:val="32"/>
    </w:rPr>
  </w:style>
  <w:style w:type="paragraph" w:styleId="Overskrift6">
    <w:name w:val="heading 6"/>
    <w:basedOn w:val="Normal"/>
    <w:next w:val="Normal"/>
    <w:autoRedefine/>
    <w:rsid w:val="00D71CE3"/>
    <w:pPr>
      <w:keepNext/>
      <w:framePr w:hSpace="141" w:wrap="around" w:vAnchor="page" w:hAnchor="margin" w:y="1468"/>
      <w:numPr>
        <w:ilvl w:val="5"/>
        <w:numId w:val="13"/>
      </w:numPr>
      <w:outlineLvl w:val="5"/>
    </w:pPr>
    <w:rPr>
      <w:b/>
      <w:bCs/>
      <w:caps/>
      <w:sz w:val="28"/>
    </w:rPr>
  </w:style>
  <w:style w:type="paragraph" w:styleId="Overskrift7">
    <w:name w:val="heading 7"/>
    <w:basedOn w:val="Normal"/>
    <w:next w:val="Normal"/>
    <w:rsid w:val="00D71CE3"/>
    <w:pPr>
      <w:numPr>
        <w:ilvl w:val="6"/>
        <w:numId w:val="13"/>
      </w:numPr>
      <w:spacing w:before="240" w:after="60"/>
      <w:outlineLvl w:val="6"/>
    </w:pPr>
  </w:style>
  <w:style w:type="paragraph" w:styleId="Overskrift8">
    <w:name w:val="heading 8"/>
    <w:basedOn w:val="Normal"/>
    <w:next w:val="Normal"/>
    <w:rsid w:val="00D71CE3"/>
    <w:pPr>
      <w:numPr>
        <w:ilvl w:val="7"/>
        <w:numId w:val="13"/>
      </w:numPr>
      <w:spacing w:before="240" w:after="60"/>
      <w:outlineLvl w:val="7"/>
    </w:pPr>
    <w:rPr>
      <w:i/>
      <w:iCs/>
    </w:rPr>
  </w:style>
  <w:style w:type="paragraph" w:styleId="Overskrift9">
    <w:name w:val="heading 9"/>
    <w:basedOn w:val="Normal"/>
    <w:next w:val="Normal"/>
    <w:rsid w:val="00D71CE3"/>
    <w:pPr>
      <w:numPr>
        <w:ilvl w:val="8"/>
        <w:numId w:val="13"/>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C2C56"/>
    <w:rPr>
      <w:rFonts w:ascii="Times" w:hAnsi="Times"/>
      <w:b/>
      <w:bCs/>
      <w:lang w:val="en-US"/>
    </w:rPr>
  </w:style>
  <w:style w:type="paragraph" w:styleId="Bunntekst">
    <w:name w:val="footer"/>
    <w:basedOn w:val="Normal"/>
    <w:link w:val="BunntekstTegn"/>
    <w:uiPriority w:val="99"/>
    <w:rsid w:val="008C2C56"/>
    <w:pPr>
      <w:tabs>
        <w:tab w:val="center" w:pos="4153"/>
        <w:tab w:val="right" w:pos="8306"/>
      </w:tabs>
    </w:pPr>
    <w:rPr>
      <w:rFonts w:ascii="Tahoma" w:hAnsi="Tahoma" w:cs="Tahoma"/>
      <w:sz w:val="18"/>
    </w:rPr>
  </w:style>
  <w:style w:type="paragraph" w:customStyle="1" w:styleId="HjortTitle">
    <w:name w:val="HjortTitle"/>
    <w:basedOn w:val="Normal"/>
    <w:autoRedefine/>
    <w:semiHidden/>
    <w:rsid w:val="00C1110C"/>
    <w:pPr>
      <w:spacing w:before="360" w:after="360"/>
    </w:pPr>
    <w:rPr>
      <w:b/>
      <w:caps/>
      <w:sz w:val="28"/>
      <w:szCs w:val="28"/>
    </w:rPr>
  </w:style>
  <w:style w:type="paragraph" w:customStyle="1" w:styleId="OverskriftS">
    <w:name w:val="Overskrift S"/>
    <w:basedOn w:val="Overskrift1"/>
    <w:next w:val="Normal"/>
    <w:semiHidden/>
    <w:rsid w:val="008C2C56"/>
  </w:style>
  <w:style w:type="paragraph" w:customStyle="1" w:styleId="HjortOverskrift1">
    <w:name w:val="HjortOverskrift1"/>
    <w:basedOn w:val="Overskrift1"/>
    <w:autoRedefine/>
    <w:semiHidden/>
    <w:rsid w:val="00C1110C"/>
    <w:pPr>
      <w:numPr>
        <w:numId w:val="2"/>
      </w:numPr>
      <w:tabs>
        <w:tab w:val="num" w:pos="992"/>
      </w:tabs>
    </w:pPr>
    <w:rPr>
      <w:bCs w:val="0"/>
    </w:rPr>
  </w:style>
  <w:style w:type="paragraph" w:customStyle="1" w:styleId="HjortOverskrift2">
    <w:name w:val="HjortOverskrift2"/>
    <w:basedOn w:val="Overskrift2"/>
    <w:autoRedefine/>
    <w:semiHidden/>
    <w:rsid w:val="00C1110C"/>
    <w:pPr>
      <w:numPr>
        <w:numId w:val="2"/>
      </w:numPr>
      <w:tabs>
        <w:tab w:val="num" w:pos="992"/>
      </w:tabs>
    </w:pPr>
  </w:style>
  <w:style w:type="paragraph" w:customStyle="1" w:styleId="HjortOverskrift3">
    <w:name w:val="HjortOverskrift3"/>
    <w:basedOn w:val="Overskrift3"/>
    <w:autoRedefine/>
    <w:semiHidden/>
    <w:rsid w:val="00C1110C"/>
    <w:pPr>
      <w:numPr>
        <w:numId w:val="2"/>
      </w:numPr>
    </w:pPr>
    <w:rPr>
      <w:b w:val="0"/>
      <w:i/>
    </w:rPr>
  </w:style>
  <w:style w:type="paragraph" w:customStyle="1" w:styleId="HjortOverskrift4">
    <w:name w:val="HjortOverskrift4"/>
    <w:basedOn w:val="Overskrift4"/>
    <w:autoRedefine/>
    <w:semiHidden/>
    <w:rsid w:val="00C1110C"/>
    <w:pPr>
      <w:numPr>
        <w:numId w:val="2"/>
      </w:numPr>
    </w:pPr>
    <w:rPr>
      <w:b w:val="0"/>
      <w:i/>
    </w:rPr>
  </w:style>
  <w:style w:type="paragraph" w:customStyle="1" w:styleId="HjortNormal">
    <w:name w:val="HjortNormal"/>
    <w:basedOn w:val="Normal"/>
    <w:autoRedefine/>
    <w:semiHidden/>
    <w:rsid w:val="00C1110C"/>
    <w:pPr>
      <w:spacing w:line="300" w:lineRule="exact"/>
      <w:jc w:val="both"/>
    </w:pPr>
  </w:style>
  <w:style w:type="paragraph" w:customStyle="1" w:styleId="HjortSitat">
    <w:name w:val="HjortSitat"/>
    <w:basedOn w:val="Normal"/>
    <w:autoRedefine/>
    <w:semiHidden/>
    <w:rsid w:val="00C1110C"/>
    <w:pPr>
      <w:spacing w:line="240" w:lineRule="exact"/>
      <w:ind w:left="680"/>
      <w:jc w:val="both"/>
    </w:pPr>
    <w:rPr>
      <w:sz w:val="20"/>
    </w:rPr>
  </w:style>
  <w:style w:type="paragraph" w:customStyle="1" w:styleId="fetnormal">
    <w:name w:val="fetnormal"/>
    <w:basedOn w:val="Normal"/>
    <w:semiHidden/>
    <w:rsid w:val="00C1110C"/>
    <w:rPr>
      <w:b/>
    </w:rPr>
  </w:style>
  <w:style w:type="paragraph" w:styleId="Bobletekst">
    <w:name w:val="Balloon Text"/>
    <w:basedOn w:val="Normal"/>
    <w:link w:val="BobletekstTegn"/>
    <w:rsid w:val="00D928DB"/>
    <w:rPr>
      <w:rFonts w:ascii="Tahoma" w:hAnsi="Tahoma" w:cs="Tahoma"/>
      <w:sz w:val="16"/>
      <w:szCs w:val="16"/>
    </w:rPr>
  </w:style>
  <w:style w:type="paragraph" w:styleId="INNH2">
    <w:name w:val="toc 2"/>
    <w:basedOn w:val="Normal"/>
    <w:next w:val="Normal"/>
    <w:semiHidden/>
    <w:rsid w:val="00747892"/>
    <w:pPr>
      <w:tabs>
        <w:tab w:val="right" w:leader="dot" w:pos="9923"/>
      </w:tabs>
      <w:spacing w:line="240" w:lineRule="exact"/>
      <w:ind w:left="851" w:right="284" w:hanging="851"/>
    </w:pPr>
    <w:rPr>
      <w:iCs/>
    </w:rPr>
  </w:style>
  <w:style w:type="paragraph" w:styleId="INNH3">
    <w:name w:val="toc 3"/>
    <w:basedOn w:val="Normal"/>
    <w:next w:val="Normal"/>
    <w:semiHidden/>
    <w:rsid w:val="00747892"/>
    <w:pPr>
      <w:tabs>
        <w:tab w:val="right" w:leader="dot" w:pos="9923"/>
      </w:tabs>
      <w:spacing w:line="240" w:lineRule="exact"/>
      <w:ind w:left="851" w:right="284" w:hanging="851"/>
    </w:pPr>
  </w:style>
  <w:style w:type="paragraph" w:styleId="INNH4">
    <w:name w:val="toc 4"/>
    <w:basedOn w:val="Normal"/>
    <w:next w:val="Normal"/>
    <w:semiHidden/>
    <w:rsid w:val="00747892"/>
    <w:pPr>
      <w:tabs>
        <w:tab w:val="right" w:leader="dot" w:pos="9923"/>
      </w:tabs>
      <w:spacing w:line="240" w:lineRule="exact"/>
      <w:ind w:left="851" w:right="284" w:hanging="851"/>
    </w:pPr>
  </w:style>
  <w:style w:type="character" w:styleId="Hyperkobling">
    <w:name w:val="Hyperlink"/>
    <w:basedOn w:val="Standardskriftforavsnitt"/>
    <w:semiHidden/>
    <w:rsid w:val="00D71CE3"/>
    <w:rPr>
      <w:color w:val="0000FF"/>
      <w:u w:val="single"/>
    </w:rPr>
  </w:style>
  <w:style w:type="numbering" w:styleId="111111">
    <w:name w:val="Outline List 2"/>
    <w:basedOn w:val="Ingenliste"/>
    <w:semiHidden/>
    <w:rsid w:val="00C1110C"/>
    <w:pPr>
      <w:numPr>
        <w:numId w:val="1"/>
      </w:numPr>
    </w:pPr>
  </w:style>
  <w:style w:type="paragraph" w:styleId="INNH5">
    <w:name w:val="toc 5"/>
    <w:basedOn w:val="Normal"/>
    <w:next w:val="Normal"/>
    <w:semiHidden/>
    <w:rsid w:val="00D71CE3"/>
    <w:pPr>
      <w:tabs>
        <w:tab w:val="right" w:leader="dot" w:pos="9356"/>
      </w:tabs>
      <w:ind w:left="851" w:right="284" w:hanging="851"/>
    </w:pPr>
  </w:style>
  <w:style w:type="paragraph" w:styleId="INNH6">
    <w:name w:val="toc 6"/>
    <w:basedOn w:val="Normal"/>
    <w:next w:val="Normal"/>
    <w:autoRedefine/>
    <w:semiHidden/>
    <w:rsid w:val="00D71CE3"/>
    <w:pPr>
      <w:ind w:left="1200"/>
    </w:pPr>
  </w:style>
  <w:style w:type="paragraph" w:styleId="INNH7">
    <w:name w:val="toc 7"/>
    <w:basedOn w:val="Normal"/>
    <w:next w:val="Normal"/>
    <w:autoRedefine/>
    <w:semiHidden/>
    <w:rsid w:val="00D71CE3"/>
    <w:pPr>
      <w:ind w:left="1440"/>
    </w:pPr>
  </w:style>
  <w:style w:type="paragraph" w:styleId="INNH8">
    <w:name w:val="toc 8"/>
    <w:basedOn w:val="Normal"/>
    <w:next w:val="Normal"/>
    <w:autoRedefine/>
    <w:semiHidden/>
    <w:rsid w:val="00D71CE3"/>
    <w:pPr>
      <w:ind w:left="1680"/>
    </w:pPr>
  </w:style>
  <w:style w:type="paragraph" w:styleId="INNH9">
    <w:name w:val="toc 9"/>
    <w:basedOn w:val="Normal"/>
    <w:next w:val="Normal"/>
    <w:autoRedefine/>
    <w:semiHidden/>
    <w:rsid w:val="00D71CE3"/>
    <w:pPr>
      <w:ind w:left="1920"/>
    </w:pPr>
  </w:style>
  <w:style w:type="character" w:styleId="Sidetall">
    <w:name w:val="page number"/>
    <w:basedOn w:val="Standardskriftforavsnitt"/>
    <w:semiHidden/>
    <w:rsid w:val="004E2D14"/>
  </w:style>
  <w:style w:type="paragraph" w:customStyle="1" w:styleId="Sitat1">
    <w:name w:val="Sitat1"/>
    <w:basedOn w:val="Brdtekst"/>
    <w:rsid w:val="00561E12"/>
    <w:pPr>
      <w:ind w:left="992"/>
    </w:pPr>
    <w:rPr>
      <w:i/>
      <w:szCs w:val="20"/>
    </w:rPr>
  </w:style>
  <w:style w:type="paragraph" w:customStyle="1" w:styleId="bunntekst0">
    <w:name w:val="bunntekst"/>
    <w:basedOn w:val="Sitat1"/>
    <w:semiHidden/>
    <w:rsid w:val="004F5DA5"/>
    <w:pPr>
      <w:spacing w:line="240" w:lineRule="auto"/>
      <w:ind w:left="0"/>
    </w:pPr>
    <w:rPr>
      <w:sz w:val="16"/>
      <w:szCs w:val="16"/>
    </w:rPr>
  </w:style>
  <w:style w:type="paragraph" w:customStyle="1" w:styleId="Hovedtittel">
    <w:name w:val="Hovedtittel"/>
    <w:basedOn w:val="Normal"/>
    <w:next w:val="Brdtekst"/>
    <w:qFormat/>
    <w:rsid w:val="00D67945"/>
    <w:pPr>
      <w:spacing w:line="300" w:lineRule="atLeast"/>
    </w:pPr>
    <w:rPr>
      <w:b/>
      <w:caps/>
      <w:szCs w:val="28"/>
    </w:rPr>
  </w:style>
  <w:style w:type="paragraph" w:styleId="Brdtekst">
    <w:name w:val="Body Text"/>
    <w:basedOn w:val="Normal"/>
    <w:qFormat/>
    <w:rsid w:val="002E09BE"/>
    <w:pPr>
      <w:spacing w:line="300" w:lineRule="atLeast"/>
    </w:pPr>
  </w:style>
  <w:style w:type="paragraph" w:customStyle="1" w:styleId="Bilag">
    <w:name w:val="Bilag"/>
    <w:qFormat/>
    <w:rsid w:val="002E09BE"/>
    <w:pPr>
      <w:numPr>
        <w:numId w:val="35"/>
      </w:numPr>
      <w:tabs>
        <w:tab w:val="left" w:pos="992"/>
      </w:tabs>
      <w:spacing w:line="300" w:lineRule="atLeast"/>
      <w:ind w:left="992" w:hanging="992"/>
    </w:pPr>
    <w:rPr>
      <w:sz w:val="24"/>
    </w:rPr>
  </w:style>
  <w:style w:type="paragraph" w:styleId="Punktliste">
    <w:name w:val="List Bullet"/>
    <w:basedOn w:val="Brdtekst"/>
    <w:qFormat/>
    <w:rsid w:val="002E09BE"/>
    <w:pPr>
      <w:numPr>
        <w:numId w:val="30"/>
      </w:numPr>
    </w:pPr>
  </w:style>
  <w:style w:type="paragraph" w:styleId="Punktliste2">
    <w:name w:val="List Bullet 2"/>
    <w:basedOn w:val="Brdtekst"/>
    <w:semiHidden/>
    <w:rsid w:val="00233417"/>
    <w:pPr>
      <w:numPr>
        <w:numId w:val="31"/>
      </w:numPr>
      <w:tabs>
        <w:tab w:val="clear" w:pos="708"/>
        <w:tab w:val="num" w:pos="0"/>
      </w:tabs>
      <w:ind w:left="0" w:firstLine="0"/>
    </w:pPr>
  </w:style>
  <w:style w:type="paragraph" w:styleId="Punktliste3">
    <w:name w:val="List Bullet 3"/>
    <w:basedOn w:val="Brdtekst"/>
    <w:semiHidden/>
    <w:rsid w:val="00233417"/>
    <w:pPr>
      <w:numPr>
        <w:numId w:val="32"/>
      </w:numPr>
      <w:tabs>
        <w:tab w:val="clear" w:pos="991"/>
        <w:tab w:val="num" w:pos="992"/>
      </w:tabs>
      <w:ind w:left="992" w:hanging="992"/>
    </w:pPr>
  </w:style>
  <w:style w:type="paragraph" w:styleId="Punktliste4">
    <w:name w:val="List Bullet 4"/>
    <w:basedOn w:val="Brdtekst"/>
    <w:semiHidden/>
    <w:rsid w:val="00233417"/>
    <w:pPr>
      <w:numPr>
        <w:numId w:val="33"/>
      </w:numPr>
      <w:tabs>
        <w:tab w:val="clear" w:pos="1274"/>
        <w:tab w:val="num" w:pos="992"/>
      </w:tabs>
      <w:ind w:left="992" w:hanging="992"/>
    </w:pPr>
  </w:style>
  <w:style w:type="paragraph" w:styleId="Punktliste5">
    <w:name w:val="List Bullet 5"/>
    <w:basedOn w:val="Brdtekst"/>
    <w:semiHidden/>
    <w:rsid w:val="00233417"/>
    <w:pPr>
      <w:numPr>
        <w:numId w:val="34"/>
      </w:numPr>
      <w:tabs>
        <w:tab w:val="clear" w:pos="1557"/>
        <w:tab w:val="num" w:pos="992"/>
      </w:tabs>
      <w:ind w:left="992" w:hanging="992"/>
    </w:pPr>
  </w:style>
  <w:style w:type="character" w:customStyle="1" w:styleId="BobletekstTegn">
    <w:name w:val="Bobletekst Tegn"/>
    <w:basedOn w:val="Standardskriftforavsnitt"/>
    <w:link w:val="Bobletekst"/>
    <w:rsid w:val="00D928DB"/>
    <w:rPr>
      <w:rFonts w:ascii="Tahoma" w:hAnsi="Tahoma" w:cs="Tahoma"/>
      <w:sz w:val="16"/>
      <w:szCs w:val="16"/>
    </w:rPr>
  </w:style>
  <w:style w:type="paragraph" w:customStyle="1" w:styleId="BilagEngelsk">
    <w:name w:val="Bilag_Engelsk"/>
    <w:qFormat/>
    <w:rsid w:val="00D67945"/>
    <w:pPr>
      <w:numPr>
        <w:numId w:val="36"/>
      </w:numPr>
      <w:tabs>
        <w:tab w:val="left" w:pos="1559"/>
      </w:tabs>
      <w:spacing w:line="300" w:lineRule="atLeast"/>
      <w:ind w:left="1559" w:hanging="1559"/>
    </w:pPr>
    <w:rPr>
      <w:sz w:val="24"/>
    </w:rPr>
  </w:style>
  <w:style w:type="paragraph" w:styleId="Nummerertliste">
    <w:name w:val="List Number"/>
    <w:basedOn w:val="Normal"/>
    <w:qFormat/>
    <w:rsid w:val="002E09BE"/>
    <w:pPr>
      <w:numPr>
        <w:numId w:val="37"/>
      </w:numPr>
      <w:tabs>
        <w:tab w:val="clear" w:pos="360"/>
        <w:tab w:val="num" w:pos="425"/>
      </w:tabs>
      <w:spacing w:line="300" w:lineRule="atLeast"/>
      <w:ind w:left="425" w:hanging="425"/>
    </w:pPr>
  </w:style>
  <w:style w:type="paragraph" w:customStyle="1" w:styleId="SitatHjort">
    <w:name w:val="SitatHjort"/>
    <w:basedOn w:val="Brdtekst"/>
    <w:qFormat/>
    <w:rsid w:val="00173386"/>
    <w:pPr>
      <w:ind w:left="992"/>
    </w:pPr>
    <w:rPr>
      <w:i/>
      <w:szCs w:val="20"/>
    </w:rPr>
  </w:style>
  <w:style w:type="paragraph" w:styleId="Dokumentkart">
    <w:name w:val="Document Map"/>
    <w:basedOn w:val="Normal"/>
    <w:link w:val="DokumentkartTegn"/>
    <w:rsid w:val="00A278DA"/>
    <w:rPr>
      <w:rFonts w:ascii="Tahoma" w:hAnsi="Tahoma" w:cs="Tahoma"/>
      <w:sz w:val="16"/>
      <w:szCs w:val="16"/>
    </w:rPr>
  </w:style>
  <w:style w:type="character" w:customStyle="1" w:styleId="DokumentkartTegn">
    <w:name w:val="Dokumentkart Tegn"/>
    <w:basedOn w:val="Standardskriftforavsnitt"/>
    <w:link w:val="Dokumentkart"/>
    <w:rsid w:val="00A278DA"/>
    <w:rPr>
      <w:rFonts w:ascii="Tahoma" w:hAnsi="Tahoma" w:cs="Tahoma"/>
      <w:sz w:val="16"/>
      <w:szCs w:val="16"/>
    </w:rPr>
  </w:style>
  <w:style w:type="character" w:styleId="Merknadsreferanse">
    <w:name w:val="annotation reference"/>
    <w:basedOn w:val="Standardskriftforavsnitt"/>
    <w:rsid w:val="00C86E37"/>
    <w:rPr>
      <w:sz w:val="16"/>
      <w:szCs w:val="16"/>
    </w:rPr>
  </w:style>
  <w:style w:type="paragraph" w:styleId="Merknadstekst">
    <w:name w:val="annotation text"/>
    <w:basedOn w:val="Normal"/>
    <w:link w:val="MerknadstekstTegn"/>
    <w:rsid w:val="00C86E37"/>
    <w:rPr>
      <w:sz w:val="20"/>
      <w:szCs w:val="20"/>
    </w:rPr>
  </w:style>
  <w:style w:type="character" w:customStyle="1" w:styleId="MerknadstekstTegn">
    <w:name w:val="Merknadstekst Tegn"/>
    <w:basedOn w:val="Standardskriftforavsnitt"/>
    <w:link w:val="Merknadstekst"/>
    <w:rsid w:val="00C86E37"/>
  </w:style>
  <w:style w:type="paragraph" w:styleId="Kommentaremne">
    <w:name w:val="annotation subject"/>
    <w:basedOn w:val="Merknadstekst"/>
    <w:next w:val="Merknadstekst"/>
    <w:link w:val="KommentaremneTegn"/>
    <w:rsid w:val="00C86E37"/>
    <w:rPr>
      <w:b/>
      <w:bCs/>
    </w:rPr>
  </w:style>
  <w:style w:type="character" w:customStyle="1" w:styleId="KommentaremneTegn">
    <w:name w:val="Kommentaremne Tegn"/>
    <w:basedOn w:val="MerknadstekstTegn"/>
    <w:link w:val="Kommentaremne"/>
    <w:rsid w:val="00C86E37"/>
    <w:rPr>
      <w:b/>
      <w:bCs/>
    </w:rPr>
  </w:style>
  <w:style w:type="paragraph" w:styleId="NormalWeb">
    <w:name w:val="Normal (Web)"/>
    <w:basedOn w:val="Normal"/>
    <w:uiPriority w:val="99"/>
    <w:unhideWhenUsed/>
    <w:rsid w:val="009614E3"/>
    <w:pPr>
      <w:spacing w:before="90"/>
    </w:pPr>
  </w:style>
  <w:style w:type="character" w:customStyle="1" w:styleId="BunntekstTegn">
    <w:name w:val="Bunntekst Tegn"/>
    <w:basedOn w:val="Standardskriftforavsnitt"/>
    <w:link w:val="Bunntekst"/>
    <w:uiPriority w:val="99"/>
    <w:rsid w:val="009F6198"/>
    <w:rPr>
      <w:rFonts w:ascii="Tahoma" w:hAnsi="Tahoma" w:cs="Tahoma"/>
      <w:sz w:val="18"/>
      <w:szCs w:val="24"/>
    </w:rPr>
  </w:style>
  <w:style w:type="paragraph" w:styleId="Listeavsnitt">
    <w:name w:val="List Paragraph"/>
    <w:basedOn w:val="Normal"/>
    <w:uiPriority w:val="34"/>
    <w:rsid w:val="00275C99"/>
    <w:pPr>
      <w:ind w:left="720"/>
      <w:contextualSpacing/>
    </w:pPr>
    <w:rPr>
      <w:lang w:val="en-GB"/>
    </w:rPr>
  </w:style>
  <w:style w:type="paragraph" w:styleId="Revisjon">
    <w:name w:val="Revision"/>
    <w:hidden/>
    <w:uiPriority w:val="99"/>
    <w:semiHidden/>
    <w:rsid w:val="000E61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58482">
      <w:bodyDiv w:val="1"/>
      <w:marLeft w:val="225"/>
      <w:marRight w:val="750"/>
      <w:marTop w:val="0"/>
      <w:marBottom w:val="0"/>
      <w:divBdr>
        <w:top w:val="none" w:sz="0" w:space="0" w:color="auto"/>
        <w:left w:val="none" w:sz="0" w:space="0" w:color="auto"/>
        <w:bottom w:val="none" w:sz="0" w:space="0" w:color="auto"/>
        <w:right w:val="none" w:sz="0" w:space="0" w:color="auto"/>
      </w:divBdr>
    </w:div>
    <w:div w:id="1431121137">
      <w:bodyDiv w:val="1"/>
      <w:marLeft w:val="225"/>
      <w:marRight w:val="750"/>
      <w:marTop w:val="0"/>
      <w:marBottom w:val="0"/>
      <w:divBdr>
        <w:top w:val="none" w:sz="0" w:space="0" w:color="auto"/>
        <w:left w:val="none" w:sz="0" w:space="0" w:color="auto"/>
        <w:bottom w:val="none" w:sz="0" w:space="0" w:color="auto"/>
        <w:right w:val="none" w:sz="0" w:space="0" w:color="auto"/>
      </w:divBdr>
    </w:div>
    <w:div w:id="1738552802">
      <w:bodyDiv w:val="1"/>
      <w:marLeft w:val="225"/>
      <w:marRight w:val="750"/>
      <w:marTop w:val="0"/>
      <w:marBottom w:val="0"/>
      <w:divBdr>
        <w:top w:val="none" w:sz="0" w:space="0" w:color="auto"/>
        <w:left w:val="none" w:sz="0" w:space="0" w:color="auto"/>
        <w:bottom w:val="none" w:sz="0" w:space="0" w:color="auto"/>
        <w:right w:val="none" w:sz="0" w:space="0" w:color="auto"/>
      </w:divBdr>
    </w:div>
    <w:div w:id="1938174240">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E02AAD221878F408DA0FD97F763AF26" ma:contentTypeVersion="14" ma:contentTypeDescription="Opprett et nytt dokument." ma:contentTypeScope="" ma:versionID="306b7a6f314194800a2155033af272a8">
  <xsd:schema xmlns:xsd="http://www.w3.org/2001/XMLSchema" xmlns:xs="http://www.w3.org/2001/XMLSchema" xmlns:p="http://schemas.microsoft.com/office/2006/metadata/properties" xmlns:ns2="36eb881a-1dd6-46c6-91bf-6f402bcc1cd8" targetNamespace="http://schemas.microsoft.com/office/2006/metadata/properties" ma:root="true" ma:fieldsID="e08564857c25d5c20b00d2842593f053" ns2:_="">
    <xsd:import namespace="36eb881a-1dd6-46c6-91bf-6f402bcc1cd8"/>
    <xsd:element name="properties">
      <xsd:complexType>
        <xsd:sequence>
          <xsd:element name="documentManagement">
            <xsd:complexType>
              <xsd:all>
                <xsd:element ref="ns2:Dokumenttype" minOccurs="0"/>
                <xsd:element ref="ns2:Dokumenteier" minOccurs="0"/>
                <xsd:element ref="ns2:Redigeringsfullmakt" minOccurs="0"/>
                <xsd:element ref="ns2:Redigeringsfrist" minOccurs="0"/>
                <xsd:element ref="ns2:MediaServiceMetadata" minOccurs="0"/>
                <xsd:element ref="ns2:MediaServiceFastMetadata" minOccurs="0"/>
                <xsd:element ref="ns2:MediaServiceSearchProperties" minOccurs="0"/>
                <xsd:element ref="ns2:MediaServiceObjectDetectorVersions" minOccurs="0"/>
                <xsd:element ref="ns2:Tjeneste" minOccurs="0"/>
                <xsd:element ref="ns2:Tjeneste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881a-1dd6-46c6-91bf-6f402bcc1cd8"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Instruks"/>
          <xsd:enumeration value="Prosedyre"/>
          <xsd:enumeration value="Rutine"/>
          <xsd:enumeration value="Mal"/>
          <xsd:enumeration value="Standardtekst"/>
          <xsd:enumeration value="Regnskap betaling ut"/>
          <xsd:enumeration value="Regnskap fordring til innbetaling"/>
          <xsd:enumeration value="Regnskap periode- og årsavslutning"/>
          <xsd:enumeration value="Regnskap tilskudd"/>
        </xsd:restriction>
      </xsd:simpleType>
    </xsd:element>
    <xsd:element name="Dokumenteier" ma:index="9" nillable="true" ma:displayName="Dokumenteier" ma:format="Dropdown" ma:list="UserInfo" ma:SharePointGroup="0" ma:internalName="Dokumentei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digeringsfullmakt" ma:index="10" nillable="true" ma:displayName="Redigeringsfullmakt" ma:format="Dropdown" ma:list="UserInfo" ma:SharePointGroup="0" ma:internalName="Redigeringsfullmak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digeringsfrist" ma:index="11" nillable="true" ma:displayName="Redigeringsfrist" ma:format="DateOnly" ma:internalName="Redigeringsfrist">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Tjeneste" ma:index="16" nillable="true" ma:displayName="Tjeneste" ma:format="Dropdown" ma:internalName="Tjeneste">
      <xsd:complexType>
        <xsd:complexContent>
          <xsd:extension base="dms:MultiChoice">
            <xsd:sequence>
              <xsd:element name="Value" maxOccurs="unbounded" minOccurs="0" nillable="true">
                <xsd:simpleType>
                  <xsd:restriction base="dms:Choice">
                    <xsd:enumeration value="Kulturrådet Norsk kulturfond"/>
                    <xsd:enumeration value="Fond for lyd og bilde"/>
                    <xsd:enumeration value="Statens kunstnerstipend"/>
                    <xsd:enumeration value="Amatørteater og historiske spel"/>
                    <xsd:enumeration value="Museumsutviklingsprogram"/>
                    <xsd:enumeration value="Tilskudd til nasjonale minioriteter"/>
                    <xsd:enumeration value="Norsk-Islandsk kultursamarbeid"/>
                    <xsd:enumeration value="Forsikringsordninger"/>
                    <xsd:enumeration value="Musikk- og scenekunstinstitusjoner. Kap. 323, Post 70"/>
                    <xsd:enumeration value="Tilskudd til organisasjoner og kompetansesentre m.m. Kap. 320, Post 74"/>
                    <xsd:enumeration value="Tilskudd til litteraturhus, kunstscener og kompanier m.m. Kap 320 Post 75"/>
                    <xsd:enumeration value="Museer. Kap. 328 post 70 og 78"/>
                    <xsd:enumeration value="Samiske museer"/>
                    <xsd:enumeration value="KUD instutisjoner utenfor Kulturdirektoratet"/>
                    <xsd:enumeration value="Kunnskapsprodukter med følgenotater og aktiviteter"/>
                    <xsd:enumeration value="Høringssvar, innspill til meldinger etc."/>
                    <xsd:enumeration value="Musikk- og scenekunststatistikk"/>
                    <xsd:enumeration value="Nasjonalt museumsnettverk"/>
                    <xsd:enumeration value="Immateriell kulturarv"/>
                    <xsd:enumeration value="Vurdering nasjonale kulturbygg, inkludert alle typer intstutisjoner"/>
                    <xsd:enumeration value="EU: Kreativt Europa"/>
                    <xsd:enumeration value="EØS: Kulturprogrammer"/>
                    <xsd:enumeration value="Kulturdirektoratet Norden"/>
                    <xsd:enumeration value="Ytringsfrihet og kunstnerisk frihet"/>
                    <xsd:enumeration value="Europarådet kulturruter"/>
                    <xsd:enumeration value="UNESCO 1970 og 2003"/>
                    <xsd:enumeration value="UNESCO 2005"/>
                    <xsd:enumeration value="Memory of the World"/>
                    <xsd:enumeration value="Kultur og KI"/>
                    <xsd:enumeration value="Museum, innovasjon og utvikling"/>
                    <xsd:enumeration value="Samarbeidsarena"/>
                    <xsd:enumeration value="Bærekraft"/>
                    <xsd:enumeration value="Mangfoldsplanen"/>
                    <xsd:enumeration value="Utførsel av kunst- og kulturgjenstander"/>
                    <xsd:enumeration value="Kommunikasjon internt og eksternt"/>
                    <xsd:enumeration value="Arrangementer, konferanser og semintarer"/>
                    <xsd:enumeration value="Deltagelse i offentlig ordskifte"/>
                    <xsd:enumeration value="Kunnskapsformidling"/>
                    <xsd:enumeration value="Virksomhetsstyring"/>
                    <xsd:enumeration value="Økonomi"/>
                    <xsd:enumeration value="Regnskap betaling ut"/>
                    <xsd:enumeration value="Regnskap fordring til innbetaling"/>
                    <xsd:enumeration value="Regnskap periode og årsavslutning"/>
                    <xsd:enumeration value="Regnskap tilskudd"/>
                    <xsd:enumeration value="Anskaffelser"/>
                    <xsd:enumeration value="Juss"/>
                    <xsd:enumeration value="Klage"/>
                    <xsd:enumeration value="Habilitet"/>
                    <xsd:enumeration value="Innsyn"/>
                    <xsd:enumeration value="Digitalisering og IKT"/>
                    <xsd:enumeration value="HR"/>
                    <xsd:enumeration value="Lønn"/>
                    <xsd:enumeration value="Drift"/>
                    <xsd:enumeration value="Arkiv"/>
                    <xsd:enumeration value="Felles"/>
                  </xsd:restriction>
                </xsd:simpleType>
              </xsd:element>
            </xsd:sequence>
          </xsd:extension>
        </xsd:complexContent>
      </xsd:complexType>
    </xsd:element>
    <xsd:element name="Tjenesteomr_x00e5_de" ma:index="17" nillable="true" ma:displayName="Tjenesteområde" ma:format="Dropdown" ma:internalName="Tjenesteomr_x00e5_de">
      <xsd:simpleType>
        <xsd:restriction base="dms:Choice">
          <xsd:enumeration value="Virksomhetsstyring"/>
          <xsd:enumeration value="Kommunikasjon og arrangement"/>
          <xsd:enumeration value="Vurdering av faste tilskuddsmottakere"/>
          <xsd:enumeration value="Felles"/>
          <xsd:enumeration value="Tillatelser"/>
          <xsd:enumeration value="Nasjonal koordinator for økt mangfold"/>
          <xsd:enumeration value="Bærekraft"/>
          <xsd:enumeration value="Innovasjonsplattform"/>
          <xsd:enumeration value="Vurdering av faste tilskuddsmottakere"/>
          <xsd:enumeration value="Tilskuddsforvaltning"/>
          <xsd:enumeration value="Museumsutvikling"/>
          <xsd:enumeration value="Kunnskap og rådgivning"/>
          <xsd:enumeration value="Internasjonale programmer"/>
          <xsd:enumeration value="Internasjonale konvensjon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digeringsfullmakt xmlns="36eb881a-1dd6-46c6-91bf-6f402bcc1cd8">
      <UserInfo>
        <DisplayName>i:0#.f|membership|orjan.hernes@kulturdirektoratet.no</DisplayName>
        <AccountId>111</AccountId>
        <AccountType/>
      </UserInfo>
    </Redigeringsfullmakt>
    <Dokumenteier xmlns="36eb881a-1dd6-46c6-91bf-6f402bcc1cd8">
      <UserInfo>
        <DisplayName>i:0#.f|membership|grete.stuevold.madsbakken@kulturdirektoratet.no</DisplayName>
        <AccountId>114</AccountId>
        <AccountType/>
      </UserInfo>
      <UserInfo>
        <DisplayName>i:0#.f|membership|torbjorn.urfjell@kulturdirektoratet.no</DisplayName>
        <AccountId>18</AccountId>
        <AccountType/>
      </UserInfo>
      <UserInfo>
        <DisplayName>i:0#.f|membership|nina.kulas@kulturdirektoratet.no</DisplayName>
        <AccountId>17</AccountId>
        <AccountType/>
      </UserInfo>
    </Dokumenteier>
    <Dokumenttype xmlns="36eb881a-1dd6-46c6-91bf-6f402bcc1cd8">Rutine</Dokumenttype>
    <Tjeneste xmlns="36eb881a-1dd6-46c6-91bf-6f402bcc1cd8">
      <Value>Kulturrådet Norsk kulturfond</Value>
      <Value>Fond for lyd og bilde</Value>
      <Value>Statens kunstnerstipend</Value>
      <Value>Amatørteater og historiske spel</Value>
      <Value>Museumsutviklingsprogram</Value>
      <Value>Tilskudd til nasjonale minioriteter</Value>
      <Value>Norsk-Islandsk kultursamarbeid</Value>
      <Value>Forsikringsordninger</Value>
    </Tjeneste>
    <Redigeringsfrist xmlns="36eb881a-1dd6-46c6-91bf-6f402bcc1cd8">2025-05-15T07:00:00+00:00</Redigeringsfrist>
    <Tjenesteomr_x00e5_de xmlns="36eb881a-1dd6-46c6-91bf-6f402bcc1cd8">Tilskuddsforvaltning</Tjenesteomr_x00e5_de>
  </documentManagement>
</p:properties>
</file>

<file path=customXml/itemProps1.xml><?xml version="1.0" encoding="utf-8"?>
<ds:datastoreItem xmlns:ds="http://schemas.openxmlformats.org/officeDocument/2006/customXml" ds:itemID="{27DBE8EF-2D2E-40A8-AE0A-5FAB7EA104E4}">
  <ds:schemaRefs>
    <ds:schemaRef ds:uri="http://schemas.openxmlformats.org/officeDocument/2006/bibliography"/>
  </ds:schemaRefs>
</ds:datastoreItem>
</file>

<file path=customXml/itemProps2.xml><?xml version="1.0" encoding="utf-8"?>
<ds:datastoreItem xmlns:ds="http://schemas.openxmlformats.org/officeDocument/2006/customXml" ds:itemID="{64245A5F-5EC8-4973-93A3-31BDF9EA39B5}"/>
</file>

<file path=customXml/itemProps3.xml><?xml version="1.0" encoding="utf-8"?>
<ds:datastoreItem xmlns:ds="http://schemas.openxmlformats.org/officeDocument/2006/customXml" ds:itemID="{7DFC5C40-CECE-4A4C-B4D8-56BD858EB59D}">
  <ds:schemaRefs>
    <ds:schemaRef ds:uri="http://schemas.microsoft.com/sharepoint/v3/contenttype/forms"/>
  </ds:schemaRefs>
</ds:datastoreItem>
</file>

<file path=customXml/itemProps4.xml><?xml version="1.0" encoding="utf-8"?>
<ds:datastoreItem xmlns:ds="http://schemas.openxmlformats.org/officeDocument/2006/customXml" ds:itemID="{AD06BDCA-BCA5-4B7D-9F62-1A64387FC8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4310</Words>
  <Characters>22848</Characters>
  <Application>Microsoft Office Word</Application>
  <DocSecurity>0</DocSecurity>
  <Lines>190</Lines>
  <Paragraphs>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27104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2024-10-03T07:38:00Z</dcterms:created>
  <dcterms:modified xsi:type="dcterms:W3CDTF">2024-10-03T08:05:00Z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0x0101002E02AAD221878F408DA0FD97F763AF26</vt:lpwstr>
  </property>
</Properties>
</file>